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432F846D" w:rsidR="003B4675" w:rsidRPr="00B95451" w:rsidRDefault="00854134" w:rsidP="00BF1F3F">
      <w:pPr>
        <w:spacing w:after="20"/>
        <w:jc w:val="center"/>
      </w:pPr>
      <w:bookmarkStart w:id="0" w:name="_Toc125170279"/>
      <w:r>
        <w:rPr>
          <w:rFonts w:ascii="Tahoma" w:hAnsi="Tahoma" w:cs="Tahoma"/>
          <w:i/>
          <w:sz w:val="28"/>
          <w:szCs w:val="28"/>
        </w:rPr>
        <w:t>Microsoft Lizenzgebühren- und Vertriebsvertrag für unabhängige Softwarehändler</w:t>
      </w:r>
      <w:bookmarkEnd w:id="0"/>
    </w:p>
    <w:p w14:paraId="22BB8B94" w14:textId="1AA2D2CC" w:rsidR="00854134" w:rsidRPr="00B95451" w:rsidRDefault="00AF7DE6" w:rsidP="00C267FD">
      <w:pPr>
        <w:spacing w:before="240" w:after="240"/>
        <w:jc w:val="center"/>
      </w:pPr>
      <w:r>
        <w:rPr>
          <w:rFonts w:ascii="Tahoma" w:hAnsi="Tahoma" w:cs="Tahoma"/>
          <w:b/>
          <w:i/>
          <w:sz w:val="32"/>
          <w:szCs w:val="32"/>
        </w:rPr>
        <w:t>ISVR-PRODUKTLISTE</w:t>
      </w:r>
    </w:p>
    <w:p w14:paraId="22BB8B95" w14:textId="77777777" w:rsidR="00F673DB" w:rsidRPr="00B95451" w:rsidRDefault="002A18CD" w:rsidP="008E2012">
      <w:pPr>
        <w:pStyle w:val="Firstpara"/>
        <w:ind w:left="0"/>
      </w:pPr>
      <w:r>
        <w:rPr>
          <w:rFonts w:ascii="Tahoma" w:hAnsi="Tahoma" w:cs="Tahoma"/>
        </w:rPr>
        <w:t>Hierin verwendete, aber nicht definierte Begriffe haben die Bedeutung wie im ISV Lizenzgebühren- und Vertriebsvertrag von Microsoft (der „Vertrag“) oder in dem ISV Lizenzgebühren- und Vertriebsvertrag für F</w:t>
      </w:r>
      <w:bookmarkStart w:id="1" w:name="_GoBack"/>
      <w:bookmarkEnd w:id="1"/>
      <w:r>
        <w:rPr>
          <w:rFonts w:ascii="Tahoma" w:hAnsi="Tahoma" w:cs="Tahoma"/>
        </w:rPr>
        <w:t>orschung &amp; Lehre von Microsoft (der „Forschung &amp; Lehre-Vertrag“).</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7FD7967A" w14:textId="77777777" w:rsidR="00524AF8" w:rsidRPr="00F21859" w:rsidRDefault="00524AF8" w:rsidP="00524AF8">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Änderungen an der ISVR-Produktliste</w:t>
      </w:r>
      <w:r>
        <w:rPr>
          <w:rFonts w:ascii="Tahoma" w:hAnsi="Tahoma" w:cs="Tahoma"/>
          <w:b w:val="0"/>
          <w:color w:val="FF6600"/>
        </w:rPr>
        <w:t xml:space="preserve"> </w:t>
      </w:r>
      <w:r>
        <w:rPr>
          <w:rFonts w:ascii="Tahoma" w:hAnsi="Tahoma" w:cs="Tahoma"/>
          <w:color w:val="FF6600"/>
          <w:sz w:val="24"/>
          <w:szCs w:val="24"/>
        </w:rPr>
        <w:t>Oktober 2017</w:t>
      </w:r>
    </w:p>
    <w:p w14:paraId="0CB4C51A" w14:textId="77777777" w:rsidR="00524AF8" w:rsidRDefault="00524AF8" w:rsidP="00524AF8">
      <w:pPr>
        <w:rPr>
          <w:rFonts w:ascii="Tahoma" w:hAnsi="Tahoma" w:cs="Tahoma"/>
        </w:rPr>
      </w:pPr>
    </w:p>
    <w:tbl>
      <w:tblPr>
        <w:tblStyle w:val="GridTable4-Accent21"/>
        <w:tblW w:w="10800" w:type="dxa"/>
        <w:tblLook w:val="04A0" w:firstRow="1" w:lastRow="0" w:firstColumn="1" w:lastColumn="0" w:noHBand="0" w:noVBand="1"/>
      </w:tblPr>
      <w:tblGrid>
        <w:gridCol w:w="5400"/>
        <w:gridCol w:w="5400"/>
      </w:tblGrid>
      <w:tr w:rsidR="00524AF8" w:rsidRPr="00F21859" w14:paraId="7A95D85D" w14:textId="77777777" w:rsidTr="0099164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F79646"/>
            <w:hideMark/>
          </w:tcPr>
          <w:p w14:paraId="0DFA36D0" w14:textId="77777777" w:rsidR="00524AF8" w:rsidRPr="00F21859" w:rsidRDefault="00524AF8" w:rsidP="00991641">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tcBorders>
              <w:left w:val="single" w:sz="4" w:space="0" w:color="FFFFFF" w:themeColor="background1"/>
            </w:tcBorders>
            <w:shd w:val="clear" w:color="auto" w:fill="F79646"/>
            <w:hideMark/>
          </w:tcPr>
          <w:p w14:paraId="53157E29" w14:textId="77777777" w:rsidR="00524AF8" w:rsidRPr="00F21859" w:rsidRDefault="00524AF8" w:rsidP="0099164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524AF8" w:rsidRPr="003C5234" w14:paraId="13DB0866"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C0504D" w:themeColor="accent2"/>
            </w:tcBorders>
            <w:shd w:val="clear" w:color="auto" w:fill="auto"/>
          </w:tcPr>
          <w:p w14:paraId="619A5015" w14:textId="77777777" w:rsidR="00524AF8" w:rsidRPr="003C5234" w:rsidRDefault="00524AF8"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Standard Core und Enterprise Core Edition</w:t>
            </w:r>
          </w:p>
        </w:tc>
        <w:tc>
          <w:tcPr>
            <w:tcW w:w="5400" w:type="dxa"/>
            <w:tcBorders>
              <w:top w:val="single" w:sz="4" w:space="0" w:color="C0504D" w:themeColor="accent2"/>
            </w:tcBorders>
            <w:shd w:val="clear" w:color="auto" w:fill="auto"/>
          </w:tcPr>
          <w:p w14:paraId="77FF2FD5" w14:textId="77777777" w:rsidR="00524AF8" w:rsidRPr="00432F04" w:rsidRDefault="00524AF8"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Standard Core und Enterprise Core Edition</w:t>
            </w:r>
          </w:p>
        </w:tc>
      </w:tr>
      <w:tr w:rsidR="00524AF8" w:rsidRPr="003C5234" w14:paraId="2DC17ADB"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4DDFB02" w14:textId="77777777" w:rsidR="00524AF8" w:rsidRPr="003C5234" w:rsidRDefault="00524AF8"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Standard Edition</w:t>
            </w:r>
          </w:p>
        </w:tc>
        <w:tc>
          <w:tcPr>
            <w:tcW w:w="5400" w:type="dxa"/>
            <w:shd w:val="clear" w:color="auto" w:fill="auto"/>
          </w:tcPr>
          <w:p w14:paraId="62F36047" w14:textId="77777777" w:rsidR="00524AF8" w:rsidRPr="00432F04" w:rsidRDefault="00524AF8"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Standard Edition</w:t>
            </w:r>
          </w:p>
        </w:tc>
      </w:tr>
      <w:tr w:rsidR="00524AF8" w:rsidRPr="003C5234" w14:paraId="16E2CEEC"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292EF15" w14:textId="77777777" w:rsidR="00524AF8" w:rsidRPr="003C5234" w:rsidRDefault="00524AF8"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Standard Edition (Laufzeitbeschränkte Verwendung)</w:t>
            </w:r>
          </w:p>
        </w:tc>
        <w:tc>
          <w:tcPr>
            <w:tcW w:w="5400" w:type="dxa"/>
            <w:shd w:val="clear" w:color="auto" w:fill="auto"/>
          </w:tcPr>
          <w:p w14:paraId="09EAFC6E" w14:textId="77777777" w:rsidR="00524AF8" w:rsidRPr="00432F04" w:rsidRDefault="00524AF8"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Standard Edition (Laufzeitbeschränkte Verwendung)</w:t>
            </w:r>
          </w:p>
        </w:tc>
      </w:tr>
      <w:tr w:rsidR="00524AF8" w:rsidRPr="003C5234" w14:paraId="01DBD983"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628E7BD" w14:textId="77777777" w:rsidR="00524AF8" w:rsidRPr="003C5234" w:rsidRDefault="00524AF8" w:rsidP="00991641">
            <w:pPr>
              <w:rPr>
                <w:rFonts w:ascii="Tahoma" w:hAnsi="Tahoma" w:cs="Tahoma"/>
                <w:color w:val="000000" w:themeColor="text1"/>
                <w:sz w:val="16"/>
                <w:szCs w:val="16"/>
              </w:rPr>
            </w:pPr>
          </w:p>
        </w:tc>
        <w:tc>
          <w:tcPr>
            <w:tcW w:w="5400" w:type="dxa"/>
            <w:shd w:val="clear" w:color="auto" w:fill="auto"/>
          </w:tcPr>
          <w:p w14:paraId="3A4EF362" w14:textId="77777777" w:rsidR="00524AF8" w:rsidRPr="00432F04" w:rsidRDefault="00524AF8"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für Hadoop</w:t>
            </w:r>
          </w:p>
        </w:tc>
      </w:tr>
      <w:tr w:rsidR="00524AF8" w:rsidRPr="003C5234" w14:paraId="42859558"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A342112" w14:textId="77777777" w:rsidR="00524AF8" w:rsidRPr="003C5234" w:rsidRDefault="00524AF8" w:rsidP="00991641">
            <w:pPr>
              <w:rPr>
                <w:rFonts w:ascii="Tahoma" w:hAnsi="Tahoma" w:cs="Tahoma"/>
                <w:color w:val="000000" w:themeColor="text1"/>
                <w:sz w:val="16"/>
                <w:szCs w:val="16"/>
              </w:rPr>
            </w:pPr>
          </w:p>
        </w:tc>
        <w:tc>
          <w:tcPr>
            <w:tcW w:w="5400" w:type="dxa"/>
            <w:shd w:val="clear" w:color="auto" w:fill="auto"/>
          </w:tcPr>
          <w:p w14:paraId="6CE5AF5E" w14:textId="77777777" w:rsidR="00524AF8" w:rsidRDefault="00524AF8"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für Linux</w:t>
            </w:r>
          </w:p>
        </w:tc>
      </w:tr>
      <w:tr w:rsidR="00524AF8" w:rsidRPr="003C5234" w14:paraId="6BAE3438"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9BF35E6" w14:textId="77777777" w:rsidR="00524AF8" w:rsidRPr="003C5234" w:rsidRDefault="00524AF8" w:rsidP="00991641">
            <w:pPr>
              <w:rPr>
                <w:rFonts w:ascii="Tahoma" w:hAnsi="Tahoma" w:cs="Tahoma"/>
                <w:color w:val="000000" w:themeColor="text1"/>
                <w:sz w:val="16"/>
                <w:szCs w:val="16"/>
              </w:rPr>
            </w:pPr>
          </w:p>
        </w:tc>
        <w:tc>
          <w:tcPr>
            <w:tcW w:w="5400" w:type="dxa"/>
            <w:shd w:val="clear" w:color="auto" w:fill="auto"/>
          </w:tcPr>
          <w:p w14:paraId="578385BB" w14:textId="77777777" w:rsidR="00524AF8" w:rsidRDefault="00524AF8"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Server 2016 für Teradata DB</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54D38BA6" w14:textId="77777777" w:rsidR="00C267FD" w:rsidRPr="00B95451" w:rsidRDefault="00C267FD" w:rsidP="00C267FD"/>
    <w:p w14:paraId="49F64826" w14:textId="0980A097" w:rsidR="0067230F" w:rsidRDefault="0067230F" w:rsidP="0067230F">
      <w:pPr>
        <w:tabs>
          <w:tab w:val="left" w:pos="4320"/>
        </w:tabs>
        <w:rPr>
          <w:rFonts w:ascii="Tahoma" w:hAnsi="Tahoma" w:cs="Tahoma"/>
          <w:bCs/>
          <w:sz w:val="18"/>
          <w:szCs w:val="18"/>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48"/>
        <w:gridCol w:w="2650"/>
        <w:gridCol w:w="450"/>
        <w:gridCol w:w="450"/>
        <w:gridCol w:w="450"/>
        <w:gridCol w:w="450"/>
      </w:tblGrid>
      <w:tr w:rsidR="00DE25DE" w:rsidRPr="00F21859" w14:paraId="22BB8BB6" w14:textId="77777777" w:rsidTr="00524AF8">
        <w:trPr>
          <w:trHeight w:val="216"/>
        </w:trPr>
        <w:tc>
          <w:tcPr>
            <w:tcW w:w="654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450" w:type="dxa"/>
            <w:gridSpan w:val="5"/>
            <w:tcBorders>
              <w:top w:val="single" w:sz="8" w:space="0" w:color="F79646"/>
              <w:left w:val="single" w:sz="8" w:space="0" w:color="F79646"/>
              <w:bottom w:val="single" w:sz="8" w:space="0" w:color="F79646"/>
              <w:right w:val="single" w:sz="8"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F21859" w14:paraId="22BB8BBA" w14:textId="77777777" w:rsidTr="00524AF8">
        <w:trPr>
          <w:trHeight w:val="216"/>
        </w:trPr>
        <w:tc>
          <w:tcPr>
            <w:tcW w:w="654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000" w:type="dxa"/>
            <w:gridSpan w:val="4"/>
            <w:tcBorders>
              <w:top w:val="single" w:sz="8" w:space="0" w:color="F79646"/>
              <w:left w:val="single" w:sz="8" w:space="0" w:color="F79646"/>
              <w:bottom w:val="single" w:sz="8" w:space="0" w:color="F79646"/>
              <w:right w:val="nil"/>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450" w:type="dxa"/>
            <w:tcBorders>
              <w:top w:val="single" w:sz="8" w:space="0" w:color="F79646"/>
              <w:left w:val="nil"/>
              <w:bottom w:val="single" w:sz="8" w:space="0" w:color="F79646"/>
              <w:right w:val="single" w:sz="8"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524AF8">
        <w:trPr>
          <w:trHeight w:val="216"/>
        </w:trPr>
        <w:tc>
          <w:tcPr>
            <w:tcW w:w="654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550" w:type="dxa"/>
            <w:gridSpan w:val="3"/>
            <w:tcBorders>
              <w:top w:val="single" w:sz="8" w:space="0" w:color="F79646"/>
              <w:left w:val="single" w:sz="8" w:space="0" w:color="F79646"/>
              <w:bottom w:val="single" w:sz="8" w:space="0" w:color="F79646"/>
              <w:right w:val="nil"/>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8" w:space="0" w:color="F79646"/>
              <w:left w:val="nil"/>
              <w:bottom w:val="single" w:sz="8" w:space="0" w:color="F79646"/>
              <w:right w:val="nil"/>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8" w:space="0" w:color="F79646"/>
              <w:left w:val="nil"/>
              <w:bottom w:val="single" w:sz="8" w:space="0" w:color="F79646"/>
              <w:right w:val="single" w:sz="8"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524AF8">
        <w:trPr>
          <w:trHeight w:val="216"/>
        </w:trPr>
        <w:tc>
          <w:tcPr>
            <w:tcW w:w="654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100" w:type="dxa"/>
            <w:gridSpan w:val="2"/>
            <w:tcBorders>
              <w:top w:val="single" w:sz="8" w:space="0" w:color="F79646"/>
              <w:left w:val="single" w:sz="8" w:space="0" w:color="F79646"/>
              <w:bottom w:val="single" w:sz="8" w:space="0" w:color="F79646"/>
              <w:right w:val="nil"/>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nil"/>
              <w:bottom w:val="single" w:sz="8" w:space="0" w:color="F79646"/>
              <w:right w:val="nil"/>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8" w:space="0" w:color="F79646"/>
              <w:left w:val="nil"/>
              <w:bottom w:val="single" w:sz="8" w:space="0" w:color="F79646"/>
              <w:right w:val="nil"/>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8" w:space="0" w:color="F79646"/>
              <w:left w:val="nil"/>
              <w:bottom w:val="single" w:sz="8" w:space="0" w:color="F79646"/>
              <w:right w:val="single" w:sz="8"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524AF8"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524AF8" w:rsidRPr="00F21859" w:rsidRDefault="00524AF8" w:rsidP="00524AF8">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634AD6C3"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24AF8"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524AF8" w:rsidRPr="00F21859" w:rsidRDefault="00524AF8" w:rsidP="00524AF8">
            <w:pPr>
              <w:rPr>
                <w:rFonts w:ascii="Tahoma" w:hAnsi="Tahoma" w:cs="Tahoma"/>
                <w:bCs/>
                <w:sz w:val="16"/>
                <w:szCs w:val="19"/>
              </w:rPr>
            </w:pPr>
            <w:r>
              <w:rPr>
                <w:rFonts w:ascii="Tahoma" w:hAnsi="Tahoma" w:cs="Tahoma"/>
                <w:bCs/>
                <w:sz w:val="16"/>
                <w:szCs w:val="19"/>
              </w:rPr>
              <w:t>BizTalk Server 2016 Branch, Standard und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491DE2E3" w:rsidR="00524AF8" w:rsidRPr="00F21859" w:rsidRDefault="00524AF8" w:rsidP="00524AF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524AF8" w:rsidRPr="00F21859" w:rsidRDefault="00524AF8" w:rsidP="00524AF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524AF8" w:rsidRPr="00F21859" w:rsidRDefault="00524AF8" w:rsidP="00524AF8">
            <w:pPr>
              <w:jc w:val="center"/>
              <w:rPr>
                <w:rStyle w:val="Hyperlink"/>
                <w:rFonts w:ascii="Tahoma" w:hAnsi="Tahoma" w:cs="Tahoma"/>
                <w:bCs/>
                <w:iCs/>
                <w:color w:val="auto"/>
                <w:sz w:val="16"/>
                <w:szCs w:val="16"/>
                <w:u w:val="none"/>
              </w:rPr>
            </w:pPr>
          </w:p>
        </w:tc>
      </w:tr>
      <w:tr w:rsidR="00524AF8"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524AF8" w:rsidRPr="00F21859" w:rsidRDefault="00524AF8" w:rsidP="00524AF8">
            <w:pPr>
              <w:rPr>
                <w:rFonts w:ascii="Tahoma" w:hAnsi="Tahoma" w:cs="Tahoma"/>
                <w:bCs/>
                <w:sz w:val="16"/>
                <w:szCs w:val="19"/>
              </w:rPr>
            </w:pPr>
            <w:r>
              <w:rPr>
                <w:rFonts w:ascii="Tahoma" w:hAnsi="Tahoma" w:cs="Tahoma"/>
                <w:bCs/>
                <w:sz w:val="16"/>
                <w:szCs w:val="19"/>
              </w:rPr>
              <w:t xml:space="preserve">BizTalk Server 2016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1A95F576" w:rsidR="00524AF8" w:rsidRPr="00F21859" w:rsidRDefault="00524AF8" w:rsidP="00524AF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524AF8" w:rsidRPr="00F21859" w:rsidRDefault="00524AF8" w:rsidP="00524AF8">
            <w:pPr>
              <w:jc w:val="center"/>
              <w:rPr>
                <w:rStyle w:val="Hyperlink"/>
                <w:rFonts w:ascii="Tahoma" w:hAnsi="Tahoma" w:cs="Tahoma"/>
                <w:bCs/>
                <w:iCs/>
                <w:color w:val="auto"/>
                <w:sz w:val="16"/>
                <w:szCs w:val="16"/>
                <w:u w:val="none"/>
              </w:rPr>
            </w:pPr>
          </w:p>
        </w:tc>
      </w:tr>
      <w:tr w:rsidR="00524AF8"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524AF8" w:rsidRPr="00F21859" w:rsidRDefault="00524AF8" w:rsidP="00524AF8">
            <w:pPr>
              <w:rPr>
                <w:rFonts w:ascii="Tahoma" w:hAnsi="Tahoma" w:cs="Tahoma"/>
                <w:bCs/>
                <w:sz w:val="16"/>
                <w:szCs w:val="19"/>
              </w:rPr>
            </w:pPr>
            <w:r>
              <w:rPr>
                <w:rFonts w:ascii="Tahoma" w:hAnsi="Tahoma" w:cs="Tahoma"/>
                <w:bCs/>
                <w:sz w:val="16"/>
                <w:szCs w:val="19"/>
              </w:rPr>
              <w:t xml:space="preserve">BizTalk Server 2016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05F65EED" w:rsidR="00524AF8" w:rsidRPr="00F21859" w:rsidRDefault="00524AF8" w:rsidP="00524AF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524AF8" w:rsidRPr="00F21859" w:rsidRDefault="00524AF8" w:rsidP="00524AF8">
            <w:pPr>
              <w:jc w:val="center"/>
              <w:rPr>
                <w:rStyle w:val="Hyperlink"/>
                <w:rFonts w:ascii="Tahoma" w:hAnsi="Tahoma" w:cs="Tahoma"/>
                <w:bCs/>
                <w:iCs/>
                <w:color w:val="auto"/>
                <w:sz w:val="16"/>
                <w:szCs w:val="16"/>
                <w:u w:val="none"/>
              </w:rPr>
            </w:pPr>
          </w:p>
        </w:tc>
      </w:tr>
      <w:tr w:rsidR="00524AF8"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434E6641" w:rsidR="00524AF8" w:rsidRPr="00F21859" w:rsidRDefault="00524AF8" w:rsidP="00524AF8">
            <w:pPr>
              <w:rPr>
                <w:rFonts w:ascii="Tahoma" w:hAnsi="Tahoma" w:cs="Tahoma"/>
                <w:bCs/>
                <w:sz w:val="16"/>
                <w:szCs w:val="19"/>
              </w:rPr>
            </w:pPr>
            <w:r>
              <w:rPr>
                <w:rFonts w:ascii="Tahoma" w:hAnsi="Tahoma" w:cs="Tahoma"/>
                <w:bCs/>
                <w:sz w:val="16"/>
                <w:szCs w:val="19"/>
              </w:rPr>
              <w:t>Microsoft Dynamics 365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580E1D6B"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24AF8"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524AF8" w:rsidRPr="00F21859" w:rsidRDefault="00524AF8" w:rsidP="00524AF8">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308B705B"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24AF8"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524AF8" w:rsidRPr="00F21859" w:rsidRDefault="00524AF8" w:rsidP="00524AF8">
            <w:pPr>
              <w:rPr>
                <w:rFonts w:ascii="Tahoma" w:hAnsi="Tahoma" w:cs="Tahoma"/>
                <w:bCs/>
                <w:sz w:val="16"/>
                <w:szCs w:val="19"/>
              </w:rPr>
            </w:pPr>
            <w:r>
              <w:rPr>
                <w:rFonts w:ascii="Tahoma" w:hAnsi="Tahoma" w:cs="Tahoma"/>
                <w:bCs/>
                <w:sz w:val="16"/>
                <w:szCs w:val="19"/>
              </w:rPr>
              <w:t xml:space="preserve">Exchange Server Standard und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0622EC5" w:rsidR="00524AF8" w:rsidRPr="00F21859" w:rsidRDefault="00524AF8" w:rsidP="00524AF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24AF8"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524AF8" w:rsidRPr="00F21859" w:rsidRDefault="00524AF8" w:rsidP="00524AF8">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01A921FF" w:rsidR="00524AF8" w:rsidRPr="00F21859" w:rsidRDefault="00524AF8" w:rsidP="00524AF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524AF8" w:rsidRPr="00F21859" w:rsidRDefault="00524AF8" w:rsidP="00524AF8">
            <w:pPr>
              <w:jc w:val="center"/>
              <w:rPr>
                <w:rStyle w:val="Hyperlink"/>
                <w:rFonts w:ascii="Tahoma" w:hAnsi="Tahoma" w:cs="Tahoma"/>
                <w:bCs/>
                <w:iCs/>
                <w:color w:val="auto"/>
                <w:sz w:val="16"/>
                <w:szCs w:val="16"/>
                <w:u w:val="none"/>
              </w:rPr>
            </w:pPr>
          </w:p>
        </w:tc>
      </w:tr>
      <w:tr w:rsidR="00524AF8"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524AF8" w:rsidRPr="00F21859" w:rsidRDefault="00524AF8" w:rsidP="00524AF8">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3F83BB9"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524AF8" w:rsidRPr="00F21859" w:rsidRDefault="00524AF8" w:rsidP="00524AF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24AF8"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524AF8" w:rsidRPr="00F21859" w:rsidRDefault="00524AF8" w:rsidP="00524AF8">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57348108" w:rsidR="00524AF8" w:rsidRPr="00F21859" w:rsidRDefault="00524AF8" w:rsidP="00524AF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524AF8" w:rsidRPr="00F21859" w:rsidRDefault="00524AF8" w:rsidP="00524AF8">
            <w:pPr>
              <w:jc w:val="center"/>
              <w:rPr>
                <w:rStyle w:val="Hyperlink"/>
                <w:rFonts w:ascii="Tahoma" w:hAnsi="Tahoma" w:cs="Tahoma"/>
                <w:bCs/>
                <w:iCs/>
                <w:color w:val="auto"/>
                <w:sz w:val="16"/>
                <w:szCs w:val="16"/>
                <w:u w:val="none"/>
              </w:rPr>
            </w:pPr>
          </w:p>
        </w:tc>
      </w:tr>
      <w:tr w:rsidR="00524AF8"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524AF8" w:rsidRPr="00F21859" w:rsidRDefault="00524AF8" w:rsidP="00524AF8">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1446FE0E"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24AF8"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524AF8" w:rsidRPr="00F21859" w:rsidRDefault="00524AF8" w:rsidP="00524AF8">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028D1304"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24AF8"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524AF8" w:rsidRPr="00F21859" w:rsidRDefault="00524AF8" w:rsidP="00524AF8">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91F2F35"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24AF8"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524AF8" w:rsidRPr="00F21859" w:rsidRDefault="00524AF8" w:rsidP="00524AF8">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3C62EB48"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24AF8"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524AF8" w:rsidRPr="00F21859" w:rsidRDefault="00524AF8" w:rsidP="00524AF8">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39E910A2"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24AF8"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524AF8" w:rsidRPr="00F21859" w:rsidRDefault="00524AF8" w:rsidP="00524AF8">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3D2FEAC6"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524AF8" w:rsidRPr="00F21859" w:rsidRDefault="00524AF8" w:rsidP="00524AF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24AF8"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524AF8" w:rsidRPr="00F21859" w:rsidRDefault="00524AF8" w:rsidP="00524AF8">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24E7230"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24AF8"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524AF8" w:rsidRPr="00F21859" w:rsidRDefault="00524AF8" w:rsidP="00524AF8">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04F1178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24AF8"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24AF8" w:rsidRPr="00F21859" w:rsidRDefault="00524AF8" w:rsidP="00524AF8">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302059DB"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24AF8"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0FFA6327" w:rsidR="00524AF8" w:rsidRPr="00F21859" w:rsidRDefault="00524AF8" w:rsidP="00524AF8">
            <w:pPr>
              <w:rPr>
                <w:rFonts w:ascii="Tahoma" w:hAnsi="Tahoma" w:cs="Tahoma"/>
                <w:bCs/>
                <w:sz w:val="16"/>
                <w:szCs w:val="19"/>
              </w:rPr>
            </w:pPr>
            <w:r>
              <w:rPr>
                <w:rFonts w:ascii="Tahoma" w:hAnsi="Tahoma" w:cs="Tahoma"/>
                <w:bCs/>
                <w:sz w:val="16"/>
                <w:szCs w:val="19"/>
              </w:rPr>
              <w:t>SQL Server 2017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50A6A3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7882CFC1" w:rsidR="00524AF8" w:rsidRPr="00F21859" w:rsidRDefault="00524AF8" w:rsidP="00524AF8">
            <w:pPr>
              <w:rPr>
                <w:rFonts w:ascii="Tahoma" w:hAnsi="Tahoma" w:cs="Tahoma"/>
                <w:bCs/>
                <w:sz w:val="16"/>
                <w:szCs w:val="19"/>
              </w:rPr>
            </w:pPr>
            <w:r>
              <w:rPr>
                <w:rFonts w:ascii="Tahoma" w:hAnsi="Tahoma" w:cs="Tahoma"/>
                <w:bCs/>
                <w:sz w:val="16"/>
                <w:szCs w:val="19"/>
              </w:rPr>
              <w:t>SQL Server 2017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85C3DB8"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63239ACF" w:rsidR="00524AF8" w:rsidRPr="00F21859" w:rsidRDefault="00524AF8" w:rsidP="00524AF8">
            <w:pPr>
              <w:rPr>
                <w:rFonts w:ascii="Tahoma" w:hAnsi="Tahoma" w:cs="Tahoma"/>
                <w:bCs/>
                <w:sz w:val="16"/>
                <w:szCs w:val="19"/>
              </w:rPr>
            </w:pPr>
            <w:r>
              <w:rPr>
                <w:rFonts w:ascii="Tahoma" w:hAnsi="Tahoma" w:cs="Tahoma"/>
                <w:bCs/>
                <w:sz w:val="16"/>
                <w:szCs w:val="19"/>
              </w:rPr>
              <w:t>SQL Server 2017 Standard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187AE7E9"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524AF8" w:rsidRPr="00F21859" w:rsidRDefault="00524AF8" w:rsidP="00524AF8">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4351157E"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1B7D3B6D" w:rsidR="00524AF8" w:rsidRPr="00F21859" w:rsidRDefault="00524AF8" w:rsidP="00524AF8">
            <w:pPr>
              <w:rPr>
                <w:rFonts w:ascii="Tahoma" w:hAnsi="Tahoma" w:cs="Tahoma"/>
                <w:bCs/>
                <w:sz w:val="16"/>
                <w:szCs w:val="19"/>
                <w:lang w:val="fr-FR"/>
              </w:rPr>
            </w:pPr>
            <w:r w:rsidRPr="00CD4FF9">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524AF8" w:rsidRPr="00F21859" w:rsidRDefault="00524AF8" w:rsidP="00524AF8">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59B9E8FF" w:rsidR="00524AF8" w:rsidRPr="00F21859" w:rsidRDefault="00524AF8" w:rsidP="00524AF8">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40D105ED"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64557119"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02139C7" w14:textId="4FA43C8A" w:rsidR="00524AF8" w:rsidRDefault="00524AF8" w:rsidP="00524AF8">
            <w:pPr>
              <w:rPr>
                <w:rFonts w:ascii="Tahoma" w:hAnsi="Tahoma" w:cs="Tahoma"/>
                <w:bCs/>
                <w:sz w:val="16"/>
                <w:szCs w:val="19"/>
              </w:rPr>
            </w:pPr>
            <w:r w:rsidRPr="00CD4FF9">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5B24E2E"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46DE7BF" w14:textId="4C2C5242"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760443C" w14:textId="16AF7DC5" w:rsidR="00524AF8" w:rsidRDefault="00524AF8" w:rsidP="00524AF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3266DF7"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7591C7F1"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1A86283" w14:textId="7FC5854D" w:rsidR="00524AF8" w:rsidRDefault="00524AF8" w:rsidP="00524AF8">
            <w:pPr>
              <w:rPr>
                <w:rFonts w:ascii="Tahoma" w:hAnsi="Tahoma" w:cs="Tahoma"/>
                <w:bCs/>
                <w:sz w:val="16"/>
                <w:szCs w:val="19"/>
              </w:rPr>
            </w:pPr>
            <w:r w:rsidRPr="00CD4FF9">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3D833C7"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8471A41" w14:textId="5B5C7CBA"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AC71BF7" w14:textId="63BBC5D3" w:rsidR="00524AF8" w:rsidRDefault="00524AF8" w:rsidP="00524AF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38878DF"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6607170"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5C3FB54" w14:textId="79162FC7" w:rsidR="00524AF8" w:rsidRDefault="00524AF8" w:rsidP="00524AF8">
            <w:pPr>
              <w:rPr>
                <w:rFonts w:ascii="Tahoma" w:hAnsi="Tahoma" w:cs="Tahoma"/>
                <w:bCs/>
                <w:sz w:val="16"/>
                <w:szCs w:val="19"/>
              </w:rPr>
            </w:pPr>
            <w:r w:rsidRPr="00CD4FF9">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8D8714"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83E1A1" w14:textId="0629C1BE"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73D5BF" w14:textId="0140328F" w:rsidR="00524AF8" w:rsidRDefault="00524AF8" w:rsidP="00524AF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EDBEEAF"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524AF8" w:rsidRPr="00F21859" w:rsidRDefault="00524AF8" w:rsidP="00524AF8">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0AFA4528"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524AF8" w:rsidRPr="00F21859" w:rsidRDefault="00524AF8" w:rsidP="00524AF8">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3E3BCCAC"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524AF8" w:rsidRPr="00F21859" w:rsidRDefault="00524AF8" w:rsidP="00524AF8">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1727C4B8"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24AF8"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524AF8" w:rsidRPr="00F21859" w:rsidRDefault="00524AF8" w:rsidP="00524AF8">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6BB27F56"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24AF8"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56715998" w:rsidR="00524AF8" w:rsidRPr="00F21859" w:rsidRDefault="00524AF8" w:rsidP="00524AF8">
            <w:pPr>
              <w:rPr>
                <w:rFonts w:ascii="Tahoma" w:hAnsi="Tahoma" w:cs="Tahoma"/>
                <w:bCs/>
                <w:sz w:val="16"/>
                <w:szCs w:val="19"/>
              </w:rPr>
            </w:pPr>
            <w:r>
              <w:rPr>
                <w:rFonts w:ascii="Tahoma" w:hAnsi="Tahoma" w:cs="Tahoma"/>
                <w:bCs/>
                <w:sz w:val="16"/>
                <w:szCs w:val="19"/>
              </w:rPr>
              <w:t>Visual Studio Enterprise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62E0D801"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302EEA23" w:rsidR="00524AF8" w:rsidRPr="00F21859" w:rsidRDefault="00524AF8" w:rsidP="00524AF8">
            <w:pPr>
              <w:rPr>
                <w:rFonts w:ascii="Tahoma" w:hAnsi="Tahoma" w:cs="Tahoma"/>
                <w:bCs/>
                <w:sz w:val="16"/>
                <w:szCs w:val="19"/>
              </w:rPr>
            </w:pPr>
            <w:r>
              <w:rPr>
                <w:rFonts w:ascii="Tahoma" w:hAnsi="Tahoma" w:cs="Tahoma"/>
                <w:bCs/>
                <w:sz w:val="16"/>
                <w:szCs w:val="19"/>
              </w:rPr>
              <w:t>Visual Studio Professional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29DFF142"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18543F7F" w:rsidR="00524AF8" w:rsidRPr="00F21859" w:rsidRDefault="00524AF8" w:rsidP="00524AF8">
            <w:pPr>
              <w:rPr>
                <w:rFonts w:ascii="Tahoma" w:hAnsi="Tahoma" w:cs="Tahoma"/>
                <w:bCs/>
                <w:sz w:val="16"/>
                <w:szCs w:val="19"/>
              </w:rPr>
            </w:pPr>
            <w:r>
              <w:rPr>
                <w:rFonts w:ascii="Tahoma" w:hAnsi="Tahoma" w:cs="Tahoma"/>
                <w:bCs/>
                <w:sz w:val="16"/>
                <w:szCs w:val="19"/>
              </w:rPr>
              <w:t>Visual Studio Test Professional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554CBBF8"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524AF8" w:rsidRPr="00F21859" w:rsidRDefault="00524AF8" w:rsidP="00524AF8">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524AF8" w:rsidRPr="00F21859" w:rsidRDefault="00524AF8" w:rsidP="00524AF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1065C69B"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524AF8" w:rsidRPr="00F21859" w:rsidRDefault="00524AF8" w:rsidP="00524AF8">
            <w:pPr>
              <w:jc w:val="center"/>
              <w:rPr>
                <w:rStyle w:val="Hyperlink"/>
                <w:rFonts w:ascii="Tahoma" w:hAnsi="Tahoma" w:cs="Tahoma"/>
                <w:bCs/>
                <w:iCs/>
                <w:color w:val="auto"/>
                <w:sz w:val="16"/>
                <w:szCs w:val="16"/>
                <w:u w:val="none"/>
                <w:lang w:val="pt-BR"/>
              </w:rPr>
            </w:pPr>
          </w:p>
        </w:tc>
      </w:tr>
      <w:tr w:rsidR="00524AF8"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524AF8" w:rsidRPr="00F21859" w:rsidRDefault="00524AF8" w:rsidP="00524AF8">
            <w:pPr>
              <w:rPr>
                <w:rFonts w:ascii="Tahoma" w:hAnsi="Tahoma" w:cs="Tahoma"/>
                <w:bCs/>
                <w:sz w:val="16"/>
                <w:szCs w:val="19"/>
              </w:rPr>
            </w:pPr>
            <w:r>
              <w:rPr>
                <w:rFonts w:ascii="Tahoma" w:hAnsi="Tahoma" w:cs="Tahoma"/>
                <w:bCs/>
                <w:sz w:val="16"/>
                <w:szCs w:val="19"/>
              </w:rPr>
              <w:t>CAL für Windows Server 2016-Remotedesktopdienste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4F14C31E"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524AF8"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524AF8" w:rsidRPr="00F21859" w:rsidRDefault="00524AF8" w:rsidP="00524AF8">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0C735D8E"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524AF8" w:rsidRPr="00F21859" w:rsidRDefault="00524AF8" w:rsidP="00524AF8">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524AF8" w:rsidRPr="00F21859" w:rsidRDefault="00524AF8" w:rsidP="00524AF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*Für die Positionen A, B, C und D in der rechten Spalte gelten die zusätzlichen Bestimmungen in den Abschnitten A - D unten.</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Zusätzliche Produktbestimmungen</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Desktop-Anwendungsprodukte des Microsoft Office-Systems. </w:t>
      </w:r>
      <w:r>
        <w:rPr>
          <w:rFonts w:ascii="Tahoma" w:hAnsi="Tahoma" w:cs="Tahoma"/>
          <w:bCs/>
        </w:rPr>
        <w:t>Die folgenden zusätzlichen Anforderungen gelten für Ihre Verwendung von Office-Desktop-Anwendungsprodukten (ausgenommen Office Multi-Language Pack 2016, Project Professional 2016 und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Maximale Anzahl qualifizierter Desktops.</w:t>
      </w:r>
      <w:r>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Klarstellungen zur Masterkopie.</w:t>
      </w:r>
      <w:r>
        <w:rPr>
          <w:rFonts w:ascii="Tahoma" w:hAnsi="Tahoma" w:cs="Tahoma"/>
        </w:rPr>
        <w:t xml:space="preserve"> Ungeachtet anderer Geschäftsbedingungen des Vertrages und/oder Forschung &amp; Lehre-Vertrages für Office-Desktop-Anwendungsprodukte (ausgenommen Office Multi-Language Pack </w:t>
      </w:r>
      <w:r>
        <w:rPr>
          <w:rFonts w:ascii="Tahoma" w:hAnsi="Tahoma" w:cs="Tahoma"/>
          <w:bCs/>
        </w:rPr>
        <w:t>2016</w:t>
      </w:r>
      <w:r>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13CF5D9" w14:textId="77777777" w:rsidR="00EE3044" w:rsidRPr="00B95451" w:rsidRDefault="00EE3044" w:rsidP="00EE3044">
      <w:pPr>
        <w:pStyle w:val="ListParagraph"/>
        <w:spacing w:before="120" w:after="120"/>
        <w:ind w:left="360"/>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für Windows Server-Remotedesktopdienste. </w:t>
      </w:r>
      <w:r>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B95451" w:rsidRDefault="00767B63" w:rsidP="008E2012">
      <w:pPr>
        <w:pStyle w:val="ListParagraph"/>
        <w:numPr>
          <w:ilvl w:val="0"/>
          <w:numId w:val="30"/>
        </w:numPr>
        <w:tabs>
          <w:tab w:val="left" w:pos="720"/>
        </w:tabs>
        <w:spacing w:before="120" w:after="120"/>
      </w:pPr>
      <w:r>
        <w:rPr>
          <w:rFonts w:ascii="Tahoma" w:hAnsi="Tahoma" w:cs="Tahoma"/>
        </w:rPr>
        <w:t>Sie nehmen die Microsoft-Lizenzbestimmungen für die CAL-Produkte in den jeweiligen Endbenutzervertrag auf und</w:t>
      </w:r>
    </w:p>
    <w:p w14:paraId="353F9AFD" w14:textId="538B3500" w:rsidR="00767B63" w:rsidRPr="00B95451" w:rsidRDefault="00767B63" w:rsidP="008E2012">
      <w:pPr>
        <w:pStyle w:val="ListParagraph"/>
        <w:numPr>
          <w:ilvl w:val="0"/>
          <w:numId w:val="30"/>
        </w:numPr>
        <w:tabs>
          <w:tab w:val="left" w:pos="720"/>
        </w:tabs>
        <w:spacing w:before="120" w:after="120"/>
      </w:pPr>
      <w:r>
        <w:rPr>
          <w:rFonts w:ascii="Tahoma" w:hAnsi="Tahoma" w:cs="Tahoma"/>
        </w:rPr>
        <w:t>Ihre Vereinheitlichte Lösung nutzt die entsprechende Version der Windows Server-Remotedesktopdienste-CAL in Übereinstimmung mit der verwendeten Version der Windows Server-Serverkomponente.</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CAL-Produktlizenzen für Remotedesktopdienste:</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2016-Remotedesktopdienste</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2012-Remotedesktopdienst</w:t>
      </w:r>
    </w:p>
    <w:p w14:paraId="16047B0B" w14:textId="5D55118C" w:rsidR="00767B63" w:rsidRPr="00B95451" w:rsidRDefault="006A34DC" w:rsidP="008E2012">
      <w:pPr>
        <w:pStyle w:val="ListParagraph"/>
        <w:spacing w:before="120" w:after="120"/>
        <w:ind w:left="360"/>
      </w:pPr>
      <w:r>
        <w:rPr>
          <w:rFonts w:ascii="Tahoma" w:hAnsi="Tahoma" w:cs="Tahoma"/>
        </w:rPr>
        <w:t>Sie dürfen KEINE Windows Server-Serversoftware als Teil Ihrer Vereinheitlichten Lösung übertragen.</w:t>
      </w:r>
    </w:p>
    <w:p w14:paraId="22BB8D1B" w14:textId="7CA341C9" w:rsidR="00554191" w:rsidRPr="00B95451" w:rsidRDefault="006A34DC" w:rsidP="008E2012">
      <w:pPr>
        <w:spacing w:before="120" w:after="120"/>
        <w:ind w:left="360"/>
      </w:pPr>
      <w:r>
        <w:rPr>
          <w:rFonts w:ascii="Tahoma" w:hAnsi="Tahoma" w:cs="Tahoma"/>
        </w:rPr>
        <w:t xml:space="preserve">Für Produktregistrierungsschlüssel für die entsprechende Version der Remotedesktopdienste-CALs wenden Sie sich an </w:t>
      </w:r>
      <w:hyperlink r:id="rId11" w:history="1">
        <w:r>
          <w:rPr>
            <w:rStyle w:val="Hyperlink"/>
            <w:rFonts w:ascii="Tahoma" w:hAnsi="Tahoma" w:cs="Tahoma"/>
          </w:rPr>
          <w:t>isvroy@microsoft.com</w:t>
        </w:r>
      </w:hyperlink>
      <w:r>
        <w:rPr>
          <w:rFonts w:ascii="Tahoma" w:hAnsi="Tahoma" w:cs="Tahoma"/>
        </w:rPr>
        <w:t xml:space="preserve"> oder an Ihren ISV-Lizenzgebührendistributor.</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Die Verwendung von System Center 2016 zur Verwaltung von Betriebssystemumgebungen oder Servern auf einem lizenzierten Gerät setzt den Erwerb und die Zuweisung sowohl der Lizenzen für System Center 2016 als auch der System Center Embedded Maintenance voraus.</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Die Verwendung der Current Branch-Option des System Center Configuration Manager ist nicht zulässig.</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Elektronischer Download</w:t>
      </w:r>
    </w:p>
    <w:p w14:paraId="22BB8D1F" w14:textId="54506CC9" w:rsidR="00CC3B64" w:rsidRPr="00B95451" w:rsidRDefault="00BF48F5" w:rsidP="008E2012">
      <w:pPr>
        <w:tabs>
          <w:tab w:val="left" w:pos="0"/>
        </w:tabs>
        <w:spacing w:before="120" w:after="120"/>
      </w:pPr>
      <w:r>
        <w:rPr>
          <w:rFonts w:ascii="Tahoma" w:hAnsi="Tahoma" w:cs="Tahoma"/>
          <w:b/>
          <w:bCs/>
        </w:rPr>
        <w:t xml:space="preserve">Vertrieb von Produkten durch elektronischen Download. </w:t>
      </w:r>
      <w:r>
        <w:rPr>
          <w:rFonts w:ascii="Tahoma" w:hAnsi="Tahoma" w:cs="Tahoma"/>
          <w:iCs/>
        </w:rPr>
        <w:t xml:space="preserve">Ungeachtet gegenteiliger Angaben im Vertrag </w:t>
      </w:r>
      <w:r>
        <w:rPr>
          <w:rFonts w:ascii="Tahoma" w:hAnsi="Tahoma" w:cs="Tahoma"/>
        </w:rPr>
        <w:t>dürfen Sie NUR solche Vereinheitlichten Lösungen per elektronischem Download verteilen, die oben in der Produktliste im Feld „Elektronischer Download“ mit einem „x“</w:t>
      </w:r>
      <w:r>
        <w:rPr>
          <w:rFonts w:ascii="Tahoma" w:hAnsi="Tahoma" w:cs="Tahoma"/>
          <w:iCs/>
          <w:color w:val="000000"/>
        </w:rPr>
        <w:t>gekennzeichnete Microsoft-Produkte enthalten</w:t>
      </w:r>
      <w:r>
        <w:rPr>
          <w:rFonts w:ascii="Tahoma" w:hAnsi="Tahoma" w:cs="Tahoma"/>
        </w:rPr>
        <w:t>. Hierfür gelten die nachfolgenden zusätzlichen Bestimmungen:</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Downloadseiten mindestens durch ein 128-Bit-SSL-Zertifikat oder dessen Äquivalent schützen.</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7F3A676" w14:textId="77777777" w:rsidR="00EB0883" w:rsidRPr="00B95451" w:rsidRDefault="00EB0883" w:rsidP="00EB0883">
      <w:pPr>
        <w:tabs>
          <w:tab w:val="left" w:pos="360"/>
        </w:tabs>
        <w:spacing w:before="120" w:after="120"/>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Produktmigrationsgewährungen</w:t>
      </w:r>
    </w:p>
    <w:p w14:paraId="22BB8D2D" w14:textId="0C48E6FE" w:rsidR="00830ED6" w:rsidRPr="00B95451" w:rsidRDefault="00F77BD0" w:rsidP="008E2012">
      <w:pPr>
        <w:spacing w:before="120" w:after="120"/>
      </w:pPr>
      <w:r>
        <w:rPr>
          <w:rFonts w:ascii="Tahoma" w:hAnsi="Tahoma" w:cs="Tahoma"/>
          <w:b/>
          <w:bCs/>
          <w:iCs/>
        </w:rPr>
        <w:t>Produktmigratonsgewährungen für Embedded Maintenance</w:t>
      </w:r>
      <w:r w:rsidRPr="00AD511D">
        <w:rPr>
          <w:rFonts w:ascii="Tahoma" w:hAnsi="Tahoma" w:cs="Tahoma"/>
          <w:b/>
        </w:rPr>
        <w:t>.</w:t>
      </w:r>
      <w:r>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B95451" w:rsidRDefault="00830ED6" w:rsidP="008E2012">
      <w:pPr>
        <w:spacing w:before="120" w:after="120"/>
      </w:pPr>
      <w:r>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Die Qualifizierende Lizenz ist die Softwarelizenz mit aktiver Embedded Maintenance.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Die Berechtigte Lizenz ist die Softwarelizenz, die mit einer upgegradeten Vereinheitlichten Lösung vertrieben werden kann.</w:t>
      </w:r>
    </w:p>
    <w:p w14:paraId="4E0BFAA3" w14:textId="77777777" w:rsidR="00EB0883" w:rsidRPr="00B95451" w:rsidRDefault="00EB0883" w:rsidP="008E2012">
      <w:pPr>
        <w:spacing w:before="120" w:after="120"/>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Vier (4) BizTalk Server 2013, 2013 R2 oder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Vier (4) BizTalk Server 2013, 2013 R2 oder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Vier (4) BizTalk Server 2013, 2013 R2 oder 2016 Branch Core</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Der Link zur Core-Faktortabelle ist im Endbenutzer-Lizenzvertrag für die BizTalk Server 2013-Software verfügbar.</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Der Link zur Core-Faktortabelle ist im Endbenutzer-Lizenzvertrag für die BizTalk Server 2013-Software verfügbar.</w:t>
      </w:r>
    </w:p>
    <w:p w14:paraId="0354E584" w14:textId="2DDC5708" w:rsidR="00EB0883" w:rsidRDefault="00EB0883" w:rsidP="005F58E3">
      <w:pPr>
        <w:spacing w:before="120" w:after="120"/>
      </w:pPr>
    </w:p>
    <w:p w14:paraId="50F035A3" w14:textId="77777777" w:rsidR="0067230F" w:rsidRPr="00F21859" w:rsidRDefault="0067230F" w:rsidP="0067230F">
      <w:pPr>
        <w:spacing w:before="120" w:after="120"/>
        <w:rPr>
          <w:rFonts w:ascii="Tahoma" w:hAnsi="Tahoma" w:cs="Tahoma"/>
          <w:b/>
          <w:color w:val="000000" w:themeColor="text1"/>
        </w:rPr>
      </w:pPr>
      <w:r>
        <w:rPr>
          <w:rFonts w:ascii="Tahoma" w:hAnsi="Tahoma" w:cs="Tahoma"/>
          <w:b/>
          <w:color w:val="000000" w:themeColor="text1"/>
        </w:rPr>
        <w:t>Microsoft Dynamics 365</w:t>
      </w:r>
    </w:p>
    <w:p w14:paraId="2A468A4E" w14:textId="77777777" w:rsidR="0067230F" w:rsidRPr="00F21859" w:rsidRDefault="0067230F" w:rsidP="0067230F">
      <w:pPr>
        <w:spacing w:before="120" w:after="120"/>
        <w:rPr>
          <w:rFonts w:ascii="Tahoma" w:hAnsi="Tahoma" w:cs="Tahoma"/>
          <w:sz w:val="16"/>
          <w:szCs w:val="16"/>
        </w:rPr>
      </w:pPr>
      <w:r>
        <w:rPr>
          <w:rFonts w:ascii="Tahoma" w:hAnsi="Tahoma" w:cs="Tahoma"/>
          <w:sz w:val="16"/>
          <w:szCs w:val="16"/>
        </w:rPr>
        <w:t xml:space="preserve">Kunden mit Endbenutzern mit aktiver Embedded Maintenance für </w:t>
      </w:r>
      <w:r>
        <w:rPr>
          <w:rFonts w:ascii="Tahoma" w:hAnsi="Tahoma" w:cs="Tahoma"/>
          <w:color w:val="000000"/>
          <w:sz w:val="16"/>
          <w:szCs w:val="16"/>
        </w:rPr>
        <w:t>Microsoft Dynamics CRM 2016-Lizenzen sind berechtigt, wie unten gezeigt Upgrades für Microsoft Dynamics 365 durchzuführen und Microsoft Dynamics 365 zu verteilen. Microsoft Dynamics 365 ist die Nachfolgerversion von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67230F" w:rsidRPr="00F21859" w14:paraId="72543A07" w14:textId="77777777" w:rsidTr="0067230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6F348EE0" w14:textId="77777777" w:rsidR="0067230F" w:rsidRPr="00F21859" w:rsidRDefault="0067230F" w:rsidP="004D553D">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4E5A1E96" w14:textId="77777777" w:rsidR="0067230F" w:rsidRPr="00F21859" w:rsidRDefault="0067230F" w:rsidP="004D553D">
            <w:pPr>
              <w:pStyle w:val="ProductList-Body"/>
              <w:jc w:val="center"/>
              <w:rPr>
                <w:rFonts w:ascii="Tahoma" w:hAnsi="Tahoma" w:cs="Tahoma"/>
                <w:b/>
                <w:szCs w:val="18"/>
              </w:rPr>
            </w:pPr>
            <w:r>
              <w:rPr>
                <w:rFonts w:ascii="Tahoma" w:hAnsi="Tahoma" w:cs="Tahoma"/>
                <w:b/>
                <w:szCs w:val="18"/>
              </w:rPr>
              <w:t>Berechtigte Lizenz</w:t>
            </w:r>
          </w:p>
        </w:tc>
      </w:tr>
      <w:tr w:rsidR="0067230F" w:rsidRPr="00F21859" w14:paraId="2FF1F67A" w14:textId="77777777" w:rsidTr="0067230F">
        <w:trPr>
          <w:trHeight w:val="216"/>
        </w:trPr>
        <w:tc>
          <w:tcPr>
            <w:tcW w:w="5400" w:type="dxa"/>
            <w:tcBorders>
              <w:top w:val="single" w:sz="4" w:space="0" w:color="F79646"/>
            </w:tcBorders>
            <w:tcMar>
              <w:top w:w="0" w:type="dxa"/>
              <w:left w:w="108" w:type="dxa"/>
              <w:bottom w:w="0" w:type="dxa"/>
              <w:right w:w="108" w:type="dxa"/>
            </w:tcMar>
            <w:hideMark/>
          </w:tcPr>
          <w:p w14:paraId="24432112" w14:textId="77777777" w:rsidR="0067230F" w:rsidRPr="00F21859" w:rsidRDefault="0067230F" w:rsidP="004D553D">
            <w:pPr>
              <w:rPr>
                <w:rFonts w:ascii="Tahoma" w:hAnsi="Tahoma" w:cs="Tahoma"/>
                <w:color w:val="000000"/>
                <w:sz w:val="16"/>
                <w:szCs w:val="16"/>
              </w:rPr>
            </w:pPr>
            <w:r>
              <w:rPr>
                <w:rFonts w:ascii="Tahoma" w:hAnsi="Tahoma" w:cs="Tahoma"/>
                <w:color w:val="000000"/>
                <w:sz w:val="16"/>
                <w:szCs w:val="16"/>
              </w:rPr>
              <w:t>Eine (1) CAL für Microsoft Dynamics CRM 2016 Essential</w:t>
            </w:r>
          </w:p>
          <w:p w14:paraId="3E587333" w14:textId="77777777" w:rsidR="0067230F" w:rsidRPr="00F21859" w:rsidRDefault="0067230F" w:rsidP="004D553D">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62484630" w14:textId="77777777" w:rsidR="0067230F" w:rsidRPr="00F21859"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Teammitglieder</w:t>
            </w:r>
          </w:p>
          <w:p w14:paraId="09B99767" w14:textId="77777777" w:rsidR="0067230F" w:rsidRPr="00F21859" w:rsidRDefault="0067230F" w:rsidP="004D553D">
            <w:pPr>
              <w:pStyle w:val="ProductList-Body"/>
              <w:rPr>
                <w:rFonts w:ascii="Tahoma" w:hAnsi="Tahoma" w:cs="Tahoma"/>
                <w:color w:val="000000"/>
                <w:sz w:val="16"/>
                <w:szCs w:val="16"/>
              </w:rPr>
            </w:pPr>
          </w:p>
        </w:tc>
      </w:tr>
      <w:tr w:rsidR="0067230F" w:rsidRPr="00F21859" w14:paraId="67F15145" w14:textId="77777777" w:rsidTr="004D553D">
        <w:trPr>
          <w:trHeight w:val="216"/>
        </w:trPr>
        <w:tc>
          <w:tcPr>
            <w:tcW w:w="5400" w:type="dxa"/>
            <w:tcMar>
              <w:top w:w="0" w:type="dxa"/>
              <w:left w:w="108" w:type="dxa"/>
              <w:bottom w:w="0" w:type="dxa"/>
              <w:right w:w="108" w:type="dxa"/>
            </w:tcMar>
            <w:hideMark/>
          </w:tcPr>
          <w:p w14:paraId="708978AA" w14:textId="77777777" w:rsidR="0067230F"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2016 oder</w:t>
            </w:r>
          </w:p>
          <w:p w14:paraId="64E7037F" w14:textId="77777777" w:rsidR="0067230F" w:rsidRPr="00F21859"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Zusätzliche CAL zur Professionellen Verwendung von Microsoft Dynamics CRM 2016</w:t>
            </w:r>
          </w:p>
          <w:p w14:paraId="0D7E1527" w14:textId="77777777" w:rsidR="0067230F" w:rsidRPr="00F21859" w:rsidRDefault="0067230F"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38FE2FDE" w14:textId="77777777" w:rsidR="0067230F" w:rsidRPr="00F21859"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den Vertrieb oder</w:t>
            </w:r>
          </w:p>
          <w:p w14:paraId="0A7F220E" w14:textId="77777777" w:rsidR="0067230F" w:rsidRDefault="0067230F" w:rsidP="004D553D">
            <w:pPr>
              <w:rPr>
                <w:rFonts w:ascii="Tahoma" w:hAnsi="Tahoma" w:cs="Tahoma"/>
                <w:color w:val="000000"/>
                <w:sz w:val="16"/>
                <w:szCs w:val="16"/>
              </w:rPr>
            </w:pPr>
            <w:r>
              <w:rPr>
                <w:rFonts w:ascii="Tahoma" w:hAnsi="Tahoma" w:cs="Tahoma"/>
                <w:color w:val="000000"/>
                <w:sz w:val="16"/>
                <w:szCs w:val="16"/>
              </w:rPr>
              <w:t>Eine (1) CAL für Microsoft Dynamics 365 für den Kundendienst oder</w:t>
            </w:r>
          </w:p>
          <w:p w14:paraId="4A4A34B9" w14:textId="77777777" w:rsidR="0067230F"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den Vertrieb und eine (1) CAL für Microsoft Dynamics 365 für den Kundendienst</w:t>
            </w:r>
          </w:p>
          <w:p w14:paraId="1BD57B8B" w14:textId="77777777" w:rsidR="0067230F" w:rsidRPr="00F21859" w:rsidRDefault="0067230F" w:rsidP="004D553D">
            <w:pPr>
              <w:pStyle w:val="ProductList-Body"/>
              <w:rPr>
                <w:rFonts w:ascii="Tahoma" w:hAnsi="Tahoma" w:cs="Tahoma"/>
                <w:color w:val="000000"/>
                <w:sz w:val="16"/>
                <w:szCs w:val="16"/>
                <w:vertAlign w:val="superscript"/>
              </w:rPr>
            </w:pPr>
          </w:p>
        </w:tc>
      </w:tr>
    </w:tbl>
    <w:p w14:paraId="2FC7B2BD" w14:textId="77777777" w:rsidR="0067230F" w:rsidRPr="00F21859" w:rsidRDefault="0067230F" w:rsidP="0067230F">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die Vereinheitlichte Lösung der Endbenutzer auf eine höhere Zusätzliche CAL als die der Lizenz, für die sie aktuell für Embedded Maintenance zahlen, upzugraden. </w:t>
      </w:r>
    </w:p>
    <w:p w14:paraId="12A0A79F" w14:textId="77777777" w:rsidR="0067230F" w:rsidRPr="00B95451" w:rsidRDefault="0067230F" w:rsidP="005F58E3">
      <w:pPr>
        <w:spacing w:before="120" w:after="120"/>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und frühere Versionen</w:t>
      </w:r>
    </w:p>
    <w:p w14:paraId="5699837F" w14:textId="11C28D78" w:rsidR="00BD41AF" w:rsidRPr="00B95451" w:rsidRDefault="003331FA" w:rsidP="005F58E3">
      <w:pPr>
        <w:spacing w:before="120" w:after="120"/>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w:t>
      </w:r>
      <w:r>
        <w:rPr>
          <w:rFonts w:ascii="Tahoma" w:hAnsi="Tahoma" w:cs="Tahoma"/>
          <w:sz w:val="16"/>
          <w:szCs w:val="16"/>
        </w:rPr>
        <w:t xml:space="preserve">CAL zur Grundlegenden Nutzung ohne zugrunde liegende Essential CAL zu verfügen.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885F3A">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F21859" w14:paraId="077DAE91" w14:textId="77777777" w:rsidTr="00885F3A">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Eine (1) CAL für Microsoft Dynamics CRM 2011 Employee Self Service</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Eine (1) Essential CAL für Microsoft Dynamics CRM 2013/2015/2016 oder</w:t>
            </w:r>
          </w:p>
          <w:p w14:paraId="3C11873B" w14:textId="0CF81439"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Eine (1) Essential CAL für Microsoft D</w:t>
            </w:r>
            <w:r w:rsidR="00495AC5">
              <w:rPr>
                <w:rFonts w:ascii="Tahoma" w:hAnsi="Tahoma" w:cs="Tahoma"/>
                <w:color w:val="000000"/>
                <w:sz w:val="16"/>
                <w:szCs w:val="16"/>
              </w:rPr>
              <w:t>ynamics CRM 2013/2015/2016 und</w:t>
            </w:r>
            <w:r w:rsidR="00495AC5">
              <w:rPr>
                <w:rFonts w:ascii="Tahoma" w:hAnsi="Tahoma" w:cs="Tahoma"/>
                <w:color w:val="000000"/>
                <w:sz w:val="16"/>
                <w:szCs w:val="16"/>
              </w:rPr>
              <w:br/>
            </w:r>
            <w:r>
              <w:rPr>
                <w:rFonts w:ascii="Tahoma" w:hAnsi="Tahoma" w:cs="Tahoma"/>
                <w:color w:val="000000"/>
                <w:sz w:val="16"/>
                <w:szCs w:val="16"/>
              </w:rPr>
              <w:t>Eine (1) Zusätzliche CAL zur Grundlegenden Verwendung von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Eine (1) Zusätzliche CAL zur Eingeschränkten Verwendung von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Eine (1) Zusätzliche CAL zur Vollständigen Verwendung von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Eine (1) Zusätzliche CAL zur Professionellen Verwendung von Microsoft Dynamics CRM 2013/2015/2016 oder</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Eine (1) Zusätzliche CAL zur Grundlegenden Verwendung von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Ein (1) Externer Connector für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2013/2015/2016 sind Nutzungsrechte für den Externen Connector enthalten</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wenn sie ein Upgrade durchführen. Kunden sind nicht </w:t>
      </w:r>
      <w:r>
        <w:rPr>
          <w:rFonts w:ascii="Tahoma" w:hAnsi="Tahoma" w:cs="Tahoma"/>
          <w:color w:val="000000"/>
          <w:sz w:val="16"/>
          <w:szCs w:val="16"/>
        </w:rPr>
        <w:lastRenderedPageBreak/>
        <w:t xml:space="preserve">berechtigt, die Vereinheitlichte Lösung der Endbenutzer auf eine höhere Zusätzliche CAL als die der Lizenz, für die sie aktuell für Embedded Maintenance zahlen, upzugraden. </w:t>
      </w:r>
    </w:p>
    <w:p w14:paraId="23F08C12" w14:textId="77777777" w:rsidR="00EB0883" w:rsidRPr="00B95451" w:rsidRDefault="00EB0883" w:rsidP="00F77865">
      <w:pPr>
        <w:spacing w:before="120" w:after="120"/>
        <w:jc w:val="both"/>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Office 2016 ist die neueste Version von Office-Anwendungsprodukten. Kunden mit aktiver </w:t>
      </w:r>
      <w:r>
        <w:rPr>
          <w:rFonts w:ascii="Tahoma" w:hAnsi="Tahoma" w:cs="Tahoma"/>
        </w:rPr>
        <w:t xml:space="preserve">Embedded Maintenance </w:t>
      </w:r>
      <w:r>
        <w:rPr>
          <w:rFonts w:ascii="Tahoma" w:hAnsi="Tahoma" w:cs="Tahoma"/>
          <w:color w:val="000000"/>
        </w:rPr>
        <w:t>für Office 2013-Anwendungsprodukte sind berechtigt, ein Upgrade auf Office 2016-Anwendungsprodukte durchzuführen und diese Software anstelle der lizenzierten Kopien von Office 2013-Anwendungsprodukten zu vertreiben, die in eine aktualisierte Vereinheitlichte Lösung integriert sind.</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885F3A">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und Office Communications Server</w:t>
      </w:r>
    </w:p>
    <w:p w14:paraId="6D3958D7" w14:textId="77777777" w:rsidR="008C65C1" w:rsidRPr="00DF64A6" w:rsidRDefault="008C65C1" w:rsidP="00DF64A6">
      <w:pPr>
        <w:tabs>
          <w:tab w:val="left" w:pos="450"/>
          <w:tab w:val="left" w:pos="990"/>
        </w:tabs>
        <w:spacing w:before="120" w:after="120"/>
        <w:rPr>
          <w:rFonts w:ascii="Tahoma" w:hAnsi="Tahoma" w:cs="Tahoma"/>
        </w:rPr>
      </w:pPr>
      <w:r w:rsidRPr="00DF64A6">
        <w:rPr>
          <w:rFonts w:ascii="Tahoma" w:hAnsi="Tahoma" w:cs="Tahoma"/>
        </w:rPr>
        <w:t>Hinweis:</w:t>
      </w:r>
      <w:r w:rsidRPr="00DF64A6">
        <w:rPr>
          <w:rFonts w:ascii="Tahoma" w:hAnsi="Tahoma" w:cs="Tahoma"/>
        </w:rPr>
        <w:tab/>
        <w:t>CALs/ECs für OCS 2007 werden durch CALs/ECs für Lync Server auf gleicher Ebene (Std</w:t>
      </w:r>
      <w:r w:rsidRPr="00DF64A6">
        <w:rPr>
          <w:rFonts w:ascii="Tahoma" w:hAnsi="Tahoma" w:cs="Tahoma"/>
        </w:rPr>
        <w:sym w:font="Wingdings" w:char="F0E0"/>
      </w:r>
      <w:r w:rsidRPr="00DF64A6">
        <w:rPr>
          <w:rFonts w:ascii="Tahoma" w:hAnsi="Tahoma" w:cs="Tahoma"/>
        </w:rPr>
        <w:t xml:space="preserve"> Std, Ent</w:t>
      </w:r>
      <w:r w:rsidRPr="00DF64A6">
        <w:rPr>
          <w:rFonts w:ascii="Tahoma" w:hAnsi="Tahoma" w:cs="Tahoma"/>
        </w:rPr>
        <w:sym w:font="Wingdings" w:char="F0E0"/>
      </w:r>
      <w:r w:rsidRPr="00DF64A6">
        <w:rPr>
          <w:rFonts w:ascii="Tahoma" w:hAnsi="Tahoma" w:cs="Tahoma"/>
        </w:rPr>
        <w:t>Ent) ersetzt.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7C7DFB99" w14:textId="77777777" w:rsidR="00EB0883" w:rsidRPr="00B95451" w:rsidRDefault="00EB0883" w:rsidP="008E2012">
      <w:pPr>
        <w:spacing w:before="120" w:after="120"/>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ist die neueste Version von Exchange. Kunden mit aktiver </w:t>
      </w:r>
      <w:r>
        <w:rPr>
          <w:rFonts w:ascii="Tahoma" w:hAnsi="Tahoma" w:cs="Tahoma"/>
        </w:rPr>
        <w:t xml:space="preserve">Embedded Maintenance </w:t>
      </w:r>
      <w:r>
        <w:rPr>
          <w:rFonts w:ascii="Tahoma" w:hAnsi="Tahoma" w:cs="Tahoma"/>
          <w:color w:val="000000"/>
        </w:rPr>
        <w:t>für Exchange Server 2013 sind berechtigt, ein Upgrade auf Exchange Server 2016 durchzuführen und diese Software anstelle der lizenzierten Kopien von Exchange Server 2013 zu vertreiben, die in eine aktualisierte Vereinheitlichte Lösung integriert sind.</w:t>
      </w:r>
    </w:p>
    <w:p w14:paraId="2FA17A1F" w14:textId="77777777" w:rsidR="00EB0883" w:rsidRPr="00B95451" w:rsidRDefault="00EB0883" w:rsidP="00EB0883"/>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DB2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EB0883" w:rsidRPr="00724F27" w14:paraId="4ADD68E1" w14:textId="77777777" w:rsidTr="00DB2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und Enterprise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und Enterprise 2016</w:t>
            </w:r>
          </w:p>
        </w:tc>
      </w:tr>
    </w:tbl>
    <w:p w14:paraId="4773F4D6" w14:textId="77777777" w:rsidR="00EB0883" w:rsidRPr="00B95451" w:rsidRDefault="00EB0883" w:rsidP="008E2012">
      <w:pPr>
        <w:spacing w:before="120" w:after="120"/>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ist die neueste Version von Project. Kunden mit aktiver </w:t>
      </w:r>
      <w:r>
        <w:rPr>
          <w:rFonts w:ascii="Tahoma" w:hAnsi="Tahoma" w:cs="Tahoma"/>
        </w:rPr>
        <w:t xml:space="preserve">Embedded Maintenance </w:t>
      </w:r>
      <w:r>
        <w:rPr>
          <w:rFonts w:ascii="Tahoma" w:hAnsi="Tahoma" w:cs="Tahoma"/>
          <w:color w:val="000000"/>
        </w:rPr>
        <w:t>für Project Server 2013 sind berechtigt, ein Upgrade auf Project Server 2016 durchzuführen und diese Software anstelle der lizenzierten Kopien von Project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Berechtigte Lizenz</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lastRenderedPageBreak/>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ist die neueste Version von SharePoint. Kunden mit aktiver </w:t>
      </w:r>
      <w:r>
        <w:rPr>
          <w:rFonts w:ascii="Tahoma" w:hAnsi="Tahoma" w:cs="Tahoma"/>
        </w:rPr>
        <w:t xml:space="preserve">Embedded Maintenance </w:t>
      </w:r>
      <w:r>
        <w:rPr>
          <w:rFonts w:ascii="Tahoma" w:hAnsi="Tahoma" w:cs="Tahoma"/>
          <w:color w:val="000000"/>
        </w:rPr>
        <w:t>für SharePoint Server 2013 sind berechtigt, ein Upgrade auf SharePoint Server 2016 durchzuführen und diese Software anstelle der lizenzierten Kopien von SharePoint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Berechtigte Lizenz</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B95451" w:rsidRDefault="00500F25" w:rsidP="008E2012">
      <w:pPr>
        <w:spacing w:before="120" w:after="120"/>
      </w:pPr>
      <w:r>
        <w:rPr>
          <w:rFonts w:ascii="Tahoma" w:hAnsi="Tahoma" w:cs="Tahoma"/>
          <w:color w:val="000000"/>
        </w:rPr>
        <w:t xml:space="preserve">Skype for Business Server 2015 ist die neueste Version von Skype for Business Server. Kunden mit aktiver </w:t>
      </w:r>
      <w:r>
        <w:rPr>
          <w:rFonts w:ascii="Tahoma" w:hAnsi="Tahoma" w:cs="Tahoma"/>
        </w:rPr>
        <w:t xml:space="preserve">Embedded Maintenance </w:t>
      </w:r>
      <w:r>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B95451" w:rsidRDefault="00500F25" w:rsidP="008E2012">
      <w:pPr>
        <w:spacing w:before="120" w:after="120"/>
      </w:pPr>
      <w:r>
        <w:rPr>
          <w:rFonts w:ascii="Tahoma" w:hAnsi="Tahoma" w:cs="Tahoma"/>
          <w:color w:val="000000"/>
        </w:rPr>
        <w:t>CALs für Skype for Business Server 2015 sind die Nachfolge-CALs für CALs für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für</w:t>
            </w:r>
            <w:r>
              <w:rPr>
                <w:rFonts w:ascii="Tahoma" w:hAnsi="Tahoma" w:cs="Tahoma"/>
                <w:bCs/>
                <w:sz w:val="16"/>
                <w:szCs w:val="19"/>
              </w:rPr>
              <w:t xml:space="preserve"> Skype for Business Server 2015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Standard-CAL für</w:t>
            </w:r>
            <w:r>
              <w:rPr>
                <w:rFonts w:ascii="Tahoma" w:hAnsi="Tahoma" w:cs="Tahoma"/>
                <w:bCs/>
                <w:sz w:val="16"/>
                <w:szCs w:val="19"/>
              </w:rPr>
              <w:t xml:space="preserve"> Skype for Business Server 2015</w:t>
            </w:r>
          </w:p>
        </w:tc>
      </w:tr>
    </w:tbl>
    <w:p w14:paraId="7EC37D5D" w14:textId="02931C00" w:rsidR="00500F25" w:rsidRPr="00B95451" w:rsidRDefault="00500F25" w:rsidP="00E14970">
      <w:pPr>
        <w:spacing w:before="120" w:after="120"/>
      </w:pPr>
      <w:r>
        <w:rPr>
          <w:rFonts w:ascii="Tahoma" w:hAnsi="Tahoma" w:cs="Tahoma"/>
          <w:color w:val="000000"/>
          <w:sz w:val="16"/>
          <w:szCs w:val="16"/>
        </w:rPr>
        <w:t>Die Serverlizenz für Lync Server 2013 ist die Nachfolge-Serverlizenz für Lync Server 2010 Standard Edition und Lync Server 2010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Serverlizenz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B95451" w:rsidRDefault="00F0618B" w:rsidP="0067230F">
      <w:pPr>
        <w:spacing w:before="120" w:after="120"/>
      </w:pPr>
      <w:bookmarkStart w:id="5" w:name="SQLServer"/>
    </w:p>
    <w:p w14:paraId="22BB8D73" w14:textId="1CB9E207" w:rsidR="006F2741" w:rsidRPr="00B95451" w:rsidRDefault="00D549E9" w:rsidP="0067230F">
      <w:pPr>
        <w:spacing w:before="120" w:after="120"/>
      </w:pPr>
      <w:r>
        <w:rPr>
          <w:rFonts w:ascii="Tahoma" w:hAnsi="Tahoma" w:cs="Tahoma"/>
          <w:b/>
        </w:rPr>
        <w:t>SQL Server</w:t>
      </w:r>
      <w:bookmarkEnd w:id="5"/>
    </w:p>
    <w:p w14:paraId="746E8FB9" w14:textId="77777777" w:rsidR="00524AF8" w:rsidRPr="00EB0883" w:rsidRDefault="00524AF8" w:rsidP="00524AF8">
      <w:pPr>
        <w:keepNext/>
        <w:spacing w:before="120"/>
        <w:rPr>
          <w:rFonts w:ascii="Tahoma" w:hAnsi="Tahoma" w:cs="Tahoma"/>
          <w:b/>
        </w:rPr>
      </w:pPr>
      <w:r>
        <w:rPr>
          <w:rFonts w:ascii="Tahoma" w:hAnsi="Tahoma" w:cs="Tahoma"/>
          <w:b/>
        </w:rPr>
        <w:t>SQL Server Core</w:t>
      </w:r>
    </w:p>
    <w:p w14:paraId="508CA5E4" w14:textId="77777777" w:rsidR="00524AF8" w:rsidRPr="003C5234" w:rsidRDefault="00524AF8" w:rsidP="00524AF8">
      <w:pPr>
        <w:spacing w:after="120"/>
        <w:rPr>
          <w:rFonts w:ascii="Tahoma" w:hAnsi="Tahoma"/>
        </w:rPr>
      </w:pPr>
      <w:r>
        <w:rPr>
          <w:rFonts w:ascii="Tahoma" w:hAnsi="Tahoma" w:cs="Tahoma"/>
        </w:rPr>
        <w:t>Kunden mit Endbenutzern, die kontinuierliche und weiterhin gültige Embedded Maintenance für SQL Server-Prozessorlizenzen erworben haben, können die vereinheitlichte Lösung für Endbenutzer wie in der</w:t>
      </w:r>
      <w:r>
        <w:rPr>
          <w:rFonts w:ascii="Tahoma" w:hAnsi="Tahoma"/>
        </w:rPr>
        <w:t xml:space="preserve"> Produktliste </w:t>
      </w:r>
      <w:r>
        <w:rPr>
          <w:rFonts w:ascii="Tahoma" w:hAnsi="Tahoma" w:cs="Tahoma"/>
        </w:rPr>
        <w:t xml:space="preserve">vom April 2017 beschrieben mit späteren Versionen von SQL Server upgraden. Erhalten Kunden aktive Embedded Maintenance für SQL Server, </w:t>
      </w:r>
      <w:r>
        <w:rPr>
          <w:rFonts w:ascii="Tahoma" w:hAnsi="Tahoma"/>
        </w:rPr>
        <w:t>nachdem</w:t>
      </w:r>
      <w:r>
        <w:rPr>
          <w:rFonts w:ascii="Tahoma" w:hAnsi="Tahoma" w:cs="Tahoma"/>
        </w:rPr>
        <w:t xml:space="preserve"> SQL Server 2017 bereitgestellt wurde, können sie zu denselben </w:t>
      </w:r>
      <w:r>
        <w:rPr>
          <w:rFonts w:ascii="Tahoma" w:hAnsi="Tahoma"/>
        </w:rPr>
        <w:t xml:space="preserve">Bedingungen </w:t>
      </w:r>
      <w:r>
        <w:rPr>
          <w:rFonts w:ascii="Tahoma" w:hAnsi="Tahoma" w:cs="Tahoma"/>
        </w:rPr>
        <w:t xml:space="preserve">ein Upgrade auf SQL Server 2017 durchführen. </w:t>
      </w:r>
    </w:p>
    <w:p w14:paraId="3EC4F511" w14:textId="77777777" w:rsidR="00524AF8" w:rsidRPr="00EB0883" w:rsidRDefault="00524AF8" w:rsidP="00524AF8">
      <w:pPr>
        <w:spacing w:before="120" w:after="120"/>
        <w:rPr>
          <w:rFonts w:ascii="Tahoma" w:hAnsi="Tahoma" w:cs="Tahoma"/>
        </w:rPr>
      </w:pPr>
      <w:r>
        <w:rPr>
          <w:rFonts w:ascii="Tahoma" w:hAnsi="Tahoma" w:cs="Tahoma"/>
        </w:rPr>
        <w:t>Kunden mit Endbenutzern, die kontinuierliche und weiterhin gültige Embedded Maintenance für SQL 2012 Core-Lizenzen (laufzeitbeschränkte Verwendung) erworben haben, können die vereinheitlichte Lösung für Endbenutzer wie in der Produktliste vom April 2017 beschrieben mit späteren Versionen von SQL Server upgraden. Erhalten Kunden aktive Embedded Maintenance für SQL Server, nachdem SQL Server 2017 bereitgestellt wurde, können sie zu denselben Bedingungen ein Upgrade auf SQL Server 2017 durchführen.</w:t>
      </w:r>
    </w:p>
    <w:p w14:paraId="24FA73D4" w14:textId="77777777" w:rsidR="00524AF8" w:rsidRPr="00EB0883" w:rsidRDefault="00524AF8" w:rsidP="00524AF8">
      <w:pPr>
        <w:keepNext/>
        <w:spacing w:before="120"/>
        <w:rPr>
          <w:rFonts w:ascii="Tahoma" w:hAnsi="Tahoma" w:cs="Tahoma"/>
          <w:b/>
        </w:rPr>
      </w:pPr>
      <w:r>
        <w:rPr>
          <w:rFonts w:ascii="Tahoma" w:hAnsi="Tahoma" w:cs="Tahoma"/>
          <w:b/>
        </w:rPr>
        <w:t xml:space="preserve">SQL Server </w:t>
      </w:r>
      <w:r>
        <w:rPr>
          <w:rFonts w:ascii="Tahoma" w:hAnsi="Tahoma" w:cs="Tahoma"/>
          <w:b/>
          <w:color w:val="000000" w:themeColor="text1"/>
        </w:rPr>
        <w:t>(Server/CAL)</w:t>
      </w:r>
    </w:p>
    <w:p w14:paraId="373A6003" w14:textId="77777777" w:rsidR="00524AF8" w:rsidRPr="00EB0883" w:rsidRDefault="00524AF8" w:rsidP="00524AF8">
      <w:pPr>
        <w:rPr>
          <w:rFonts w:ascii="Tahoma" w:hAnsi="Tahoma" w:cs="Tahoma"/>
          <w:bCs/>
          <w:iCs/>
          <w:color w:val="000000" w:themeColor="text1"/>
        </w:rPr>
      </w:pPr>
      <w:r>
        <w:rPr>
          <w:rFonts w:ascii="Tahoma" w:hAnsi="Tahoma" w:cs="Tahoma"/>
          <w:bCs/>
          <w:iCs/>
          <w:color w:val="000000" w:themeColor="text1"/>
        </w:rPr>
        <w:t xml:space="preserve">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Erhalten Kunden aktive Embedded Maintenance für SQL Server, nachdem SQL Server 2017 bereitgestellt wurde, können sie zu denselben Bedingungen ein Upgrade auf SQL Server 2017 Standard durchführen. </w:t>
      </w:r>
    </w:p>
    <w:p w14:paraId="55821E51" w14:textId="77777777" w:rsidR="00524AF8" w:rsidRPr="003C5234" w:rsidRDefault="00524AF8" w:rsidP="00524AF8">
      <w:pPr>
        <w:rPr>
          <w:rFonts w:ascii="Tahoma" w:hAnsi="Tahoma"/>
          <w:color w:val="000000" w:themeColor="text1"/>
        </w:rPr>
      </w:pPr>
    </w:p>
    <w:p w14:paraId="7BD1F159" w14:textId="77777777" w:rsidR="00524AF8" w:rsidRPr="00EB0883" w:rsidRDefault="00524AF8" w:rsidP="00524AF8">
      <w:pPr>
        <w:rPr>
          <w:rFonts w:ascii="Tahoma" w:hAnsi="Tahoma" w:cs="Tahoma"/>
          <w:bCs/>
          <w:iCs/>
          <w:color w:val="000000" w:themeColor="text1"/>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(Vollständige Verwendung) </w:t>
      </w:r>
      <w:r>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gemäß den für den Kunden geltenden Embedded Maintenance-Bestimmungen ein Upgrade auf spätere Versionen von SQL Server Enterprise Server durchzuführen. Der Kunde ist nicht berechtigt, neue Lizenzen für SQL Server Enterprise Server für vollständige oder laufzeitbeschränkte Verwendung als Bestandteil der Vereinheitlichten Lösung zu vertreiben.</w:t>
      </w:r>
    </w:p>
    <w:p w14:paraId="4024E110" w14:textId="77777777" w:rsidR="00524AF8" w:rsidRPr="00EB0883" w:rsidRDefault="00524AF8" w:rsidP="00524AF8">
      <w:pPr>
        <w:tabs>
          <w:tab w:val="left" w:pos="4320"/>
        </w:tabs>
        <w:rPr>
          <w:rFonts w:ascii="Tahoma" w:hAnsi="Tahoma" w:cs="Tahoma"/>
          <w:bCs/>
          <w:iCs/>
          <w:color w:val="000000" w:themeColor="text1"/>
        </w:rPr>
      </w:pPr>
    </w:p>
    <w:p w14:paraId="61DAF4DB" w14:textId="77777777" w:rsidR="00524AF8" w:rsidRDefault="00524AF8" w:rsidP="00524AF8">
      <w:pPr>
        <w:tabs>
          <w:tab w:val="left" w:pos="4320"/>
        </w:tabs>
        <w:rPr>
          <w:rFonts w:ascii="Tahoma" w:hAnsi="Tahoma" w:cs="Tahoma"/>
          <w:bCs/>
          <w:iCs/>
          <w:color w:val="000000" w:themeColor="text1"/>
        </w:rPr>
      </w:pPr>
      <w:r>
        <w:rPr>
          <w:rFonts w:ascii="Tahoma" w:hAnsi="Tahoma" w:cs="Tahoma"/>
          <w:bCs/>
          <w:iCs/>
          <w:color w:val="000000" w:themeColor="text1"/>
        </w:rPr>
        <w:t>SQL Server 2014 Business Intelligence war die letzte Edition der SQL Server Business Intelligence Edition. Kunden mit Endbenutzern, die bis Mai 2016 kontinuierliche und weiterhin gültige Embedded Maintenance für SQL Business Intelligence-Lizenzen erworben haben, können die vereinheitlichte Lösung für Endbenutzer wie in der Produktliste vom April 2017 beschrieben mit späteren Versionen von SQL Server Enterprise (Server/CAL) upgraden. Erhalten Kunden aktive Embedded Maintenance für SQL Server, nachdem SQL Server 2017 bereitgestellt wurde, können sie zu denselben Bedingungen ein Upgrade auf SQL Server 2017 Enterprise (Server/CAL) durchführen.</w:t>
      </w:r>
    </w:p>
    <w:p w14:paraId="79C52BBA" w14:textId="77777777" w:rsidR="005D3454" w:rsidRPr="00B95451" w:rsidRDefault="005D3454" w:rsidP="00E41383">
      <w:pPr>
        <w:tabs>
          <w:tab w:val="left" w:pos="4320"/>
        </w:tabs>
      </w:pPr>
    </w:p>
    <w:p w14:paraId="45CA77E9" w14:textId="0FBA5114" w:rsidR="004A5BCA" w:rsidRPr="00B95451" w:rsidRDefault="00E41383" w:rsidP="00E41383">
      <w:pPr>
        <w:tabs>
          <w:tab w:val="left" w:pos="4320"/>
        </w:tabs>
      </w:pPr>
      <w:r>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14:paraId="6CB379EA" w14:textId="77777777" w:rsidR="0067230F" w:rsidRDefault="0067230F" w:rsidP="00DE0884">
      <w:pPr>
        <w:spacing w:before="120" w:after="120"/>
        <w:rPr>
          <w:rFonts w:ascii="Tahoma" w:hAnsi="Tahoma" w:cs="Tahoma"/>
          <w:b/>
          <w:bCs/>
        </w:rPr>
      </w:pPr>
    </w:p>
    <w:p w14:paraId="1C77A50B" w14:textId="21EBC363"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und System Center 2012 R2 Datacenter sind die letzten Versionen von System Center, die pro Prozessor lizenziert werden. Kunden mit Endbenutzern mit aktiver Embedded Maintenance für System Center Processor-Lizenzen sind berechtigt, die Vereinheitlichte Lösung der Endbenutzer upzugraden, damit sie auf der Grundlage des unten angegebenen Prozessor-Core-Verhältnisses System Center enthält.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885F3A">
        <w:trPr>
          <w:cnfStyle w:val="100000000000" w:firstRow="1" w:lastRow="0" w:firstColumn="0" w:lastColumn="0" w:oddVBand="0" w:evenVBand="0" w:oddHBand="0"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885F3A" w:rsidRDefault="0065287E" w:rsidP="00772EF6">
            <w:pPr>
              <w:jc w:val="center"/>
              <w:rPr>
                <w:rFonts w:ascii="Tahoma" w:hAnsi="Tahoma" w:cs="Tahoma"/>
                <w:iCs/>
                <w:color w:val="000000" w:themeColor="text1"/>
                <w:sz w:val="18"/>
              </w:rPr>
            </w:pPr>
            <w:r w:rsidRPr="00885F3A">
              <w:rPr>
                <w:rFonts w:ascii="Tahoma" w:hAnsi="Tahoma" w:cs="Tahoma"/>
                <w:iCs/>
                <w:color w:val="000000" w:themeColor="text1"/>
                <w:sz w:val="18"/>
              </w:rPr>
              <w:t>Qualifizierende Lizenz</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885F3A" w:rsidRDefault="0065287E" w:rsidP="00772EF6">
            <w:pPr>
              <w:jc w:val="center"/>
              <w:rPr>
                <w:rFonts w:ascii="Tahoma" w:hAnsi="Tahoma" w:cs="Tahoma"/>
                <w:iCs/>
                <w:color w:val="000000" w:themeColor="text1"/>
                <w:sz w:val="18"/>
              </w:rPr>
            </w:pPr>
            <w:r w:rsidRPr="00885F3A">
              <w:rPr>
                <w:rFonts w:ascii="Tahoma" w:hAnsi="Tahoma" w:cs="Tahoma"/>
                <w:iCs/>
                <w:color w:val="000000" w:themeColor="text1"/>
                <w:sz w:val="18"/>
              </w:rPr>
              <w:t>Berechtigte Lizenzen</w:t>
            </w:r>
          </w:p>
        </w:tc>
      </w:tr>
      <w:tr w:rsidR="0065287E" w:rsidRPr="004032D9" w14:paraId="4CEA9965" w14:textId="77777777" w:rsidTr="00885F3A">
        <w:trPr>
          <w:cnfStyle w:val="000000100000" w:firstRow="0" w:lastRow="0" w:firstColumn="0" w:lastColumn="0" w:oddVBand="0" w:evenVBand="0" w:oddHBand="1"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885F3A" w:rsidRDefault="0065287E" w:rsidP="005940EB">
            <w:pPr>
              <w:rPr>
                <w:rFonts w:ascii="Tahoma" w:hAnsi="Tahoma" w:cs="Tahoma"/>
                <w:bCs/>
                <w:iCs/>
                <w:color w:val="000000" w:themeColor="text1"/>
                <w:sz w:val="16"/>
              </w:rPr>
            </w:pPr>
            <w:r w:rsidRPr="00885F3A">
              <w:rPr>
                <w:rFonts w:ascii="Tahoma" w:hAnsi="Tahoma" w:cs="Tahoma"/>
                <w:bCs/>
                <w:iCs/>
                <w:color w:val="000000" w:themeColor="text1"/>
                <w:sz w:val="16"/>
              </w:rPr>
              <w:t>Ein (1) System Center Datacenter (2 Prozessoren)</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885F3A" w:rsidRDefault="0065287E" w:rsidP="00772EF6">
            <w:pPr>
              <w:rPr>
                <w:rFonts w:ascii="Tahoma" w:hAnsi="Tahoma" w:cs="Tahoma"/>
                <w:bCs/>
                <w:iCs/>
                <w:color w:val="000000" w:themeColor="text1"/>
                <w:sz w:val="16"/>
              </w:rPr>
            </w:pPr>
            <w:r w:rsidRPr="00885F3A">
              <w:rPr>
                <w:rFonts w:ascii="Tahoma" w:hAnsi="Tahoma" w:cs="Tahoma"/>
                <w:bCs/>
                <w:iCs/>
                <w:color w:val="000000" w:themeColor="text1"/>
                <w:sz w:val="16"/>
              </w:rPr>
              <w:t>Sechzehn (16) System Center 2016 Datacenter (Core)</w:t>
            </w:r>
          </w:p>
        </w:tc>
      </w:tr>
      <w:tr w:rsidR="0065287E" w:rsidRPr="004032D9" w14:paraId="24AA47B7" w14:textId="77777777" w:rsidTr="00885F3A">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885F3A" w:rsidRDefault="0065287E" w:rsidP="005940EB">
            <w:pPr>
              <w:rPr>
                <w:rFonts w:ascii="Tahoma" w:hAnsi="Tahoma" w:cs="Tahoma"/>
                <w:bCs/>
                <w:iCs/>
                <w:color w:val="000000" w:themeColor="text1"/>
                <w:sz w:val="16"/>
              </w:rPr>
            </w:pPr>
            <w:r w:rsidRPr="00885F3A">
              <w:rPr>
                <w:rFonts w:ascii="Tahoma" w:hAnsi="Tahoma" w:cs="Tahoma"/>
                <w:bCs/>
                <w:iCs/>
                <w:color w:val="000000" w:themeColor="text1"/>
                <w:sz w:val="16"/>
              </w:rPr>
              <w:t>Ein (1) System Center Standard (2 Prozessoren)</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885F3A" w:rsidRDefault="0065287E" w:rsidP="00772EF6">
            <w:pPr>
              <w:rPr>
                <w:rFonts w:ascii="Tahoma" w:hAnsi="Tahoma" w:cs="Tahoma"/>
                <w:bCs/>
                <w:iCs/>
                <w:color w:val="000000" w:themeColor="text1"/>
                <w:sz w:val="16"/>
              </w:rPr>
            </w:pPr>
            <w:r w:rsidRPr="00885F3A">
              <w:rPr>
                <w:rFonts w:ascii="Tahoma" w:hAnsi="Tahoma" w:cs="Tahoma"/>
                <w:bCs/>
                <w:iCs/>
                <w:color w:val="000000" w:themeColor="text1"/>
                <w:sz w:val="16"/>
              </w:rPr>
              <w:t>Sechzehn (16) System Center 2016 Standard (Core)</w:t>
            </w:r>
          </w:p>
        </w:tc>
      </w:tr>
    </w:tbl>
    <w:p w14:paraId="6838197E" w14:textId="712E8874" w:rsidR="00D934DF" w:rsidRPr="005E3965" w:rsidRDefault="0065287E" w:rsidP="00D934DF">
      <w:pPr>
        <w:spacing w:before="120" w:after="120"/>
        <w:rPr>
          <w:spacing w:val="-2"/>
        </w:rPr>
      </w:pPr>
      <w:r w:rsidRPr="005E3965">
        <w:rPr>
          <w:rFonts w:ascii="Tahoma" w:hAnsi="Tahoma" w:cs="Tahoma"/>
          <w:bCs/>
          <w:iCs/>
          <w:color w:val="000000" w:themeColor="text1"/>
          <w:spacing w:val="-2"/>
        </w:rPr>
        <w:t>Wenn der lizenzierte Server, auf dem der Endbenutzer ein Upgrade durchführt, über Prozessoren mit einer höheren Core-Dichte als 8 verfügt und der Endbenutzer mithilfe entweder des Microsoft Software Inventory Logging (SIL)-Tools oder einer anderen gleichwertigen Software Aufzeichnungen zu der auf dem lizenzierten Server (in Betriebssystemumgebungen auf dem lizenzierten Server ausgeführte Instanzen) ausgeführten Konfiguration von System Server und zu der System Center unterstützenden physischen Hardware erstellt und pflegt, ist der Endbenutzer berechtigt, für die Anzahl von Cores, die der tatsächlichen Anzahl von Cores entspricht, auf denen das Produkt ausgeführt wurde, ein Upgrade auf System Server 2016 durchzuführen:</w:t>
      </w:r>
    </w:p>
    <w:p w14:paraId="0898E77B" w14:textId="5827E259" w:rsidR="00772EF6" w:rsidRPr="00B95451" w:rsidRDefault="00D934DF" w:rsidP="00D934DF">
      <w:pPr>
        <w:spacing w:before="120" w:after="120"/>
        <w:ind w:left="720"/>
      </w:pPr>
      <w:r>
        <w:rPr>
          <w:rFonts w:ascii="Tahoma" w:hAnsi="Tahoma" w:cs="Tahoma"/>
          <w:bCs/>
          <w:iCs/>
          <w:color w:val="000000" w:themeColor="text1"/>
        </w:rPr>
        <w:t>(i) zum Zeitpunkt des Upgrades (für Upgrades, die vor dem Ende der aktuellen EM-Laufzeit des Endbenutzers geplant wurden); oder</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ab dem letzten Tag der aktuellen EM-Laufzeit des Endbenutzers (für Upgrades, die nach diesem Datum geplant wurden) unter der Voraussetzung, dass die Laufzeit des Endbenutzers verlängert wird. </w:t>
      </w:r>
    </w:p>
    <w:p w14:paraId="338DFCA4" w14:textId="77EA6BFC"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Wenn keine Aufzeichnungen erstellt und gepflegt werden, erfolgen die Upgrades des Endbenutzers auf System Center 2016 auf Basis der Anzahl der in der Tabelle oben angegebenen Cores. Für die Nutzung auf lizenzierten Servern mit einer höheren Core-Dichte muss der Endbenutzer zusätzliche Core-Lizenzen für System Center erwerben.</w:t>
      </w:r>
    </w:p>
    <w:p w14:paraId="773D98EE" w14:textId="0C76E6BB" w:rsidR="00885F3A" w:rsidRDefault="00885F3A" w:rsidP="0065287E">
      <w:pPr>
        <w:spacing w:before="120" w:after="120"/>
        <w:rPr>
          <w:rFonts w:ascii="Tahoma" w:hAnsi="Tahoma" w:cs="Tahoma"/>
          <w:bCs/>
          <w:iCs/>
          <w:color w:val="000000" w:themeColor="text1"/>
        </w:rPr>
      </w:pPr>
    </w:p>
    <w:p w14:paraId="66D5C819" w14:textId="77777777" w:rsidR="00885F3A" w:rsidRPr="00CD4FF9" w:rsidRDefault="00885F3A" w:rsidP="00885F3A">
      <w:pPr>
        <w:spacing w:before="120" w:after="120"/>
        <w:rPr>
          <w:rFonts w:ascii="Tahoma" w:hAnsi="Tahoma" w:cs="Tahoma"/>
          <w:b/>
          <w:bCs/>
          <w:lang w:val="en-US"/>
        </w:rPr>
      </w:pPr>
      <w:r w:rsidRPr="00CD4FF9">
        <w:rPr>
          <w:rFonts w:ascii="Tahoma" w:hAnsi="Tahoma" w:cs="Tahoma"/>
          <w:b/>
          <w:lang w:val="en-US"/>
        </w:rPr>
        <w:t>System Center 2016 Data Protection Manager, System Center 2016 Operations Manager, System Center 2016 Orchestrator, System Center 2016 Service Manager</w:t>
      </w:r>
    </w:p>
    <w:p w14:paraId="326A4BA3" w14:textId="77777777" w:rsidR="00885F3A" w:rsidRPr="00CD4FF9" w:rsidRDefault="00885F3A" w:rsidP="00885F3A">
      <w:pPr>
        <w:spacing w:before="120" w:after="120"/>
        <w:rPr>
          <w:rFonts w:ascii="Tahoma" w:hAnsi="Tahoma" w:cs="Tahoma"/>
        </w:rPr>
      </w:pPr>
      <w:r w:rsidRPr="00CD4FF9">
        <w:rPr>
          <w:rFonts w:ascii="Tahoma" w:hAnsi="Tahoma" w:cs="Tahoma"/>
        </w:rPr>
        <w:t xml:space="preserve">System Center 2016 Client Management Suite war die letzte Version von Client Management Suite. Jedes der vier Teilprodukte der System Center Client Management Suite ist nun als eigenständiges Produkt lizenziert. Kunden mit aktiver Embedded Maintenance für System Center 2016 Client Management Suite sind berechtigt, System Center 2016 Data Protection Manager, System Center 2016 Operations Manager, System Center 2016 Orchestrator und System Center 2016 Service Manager anstelle der lizenzierten Kopien von System Center 2016 Client Management Suite zu aktualisieren und zu verteilen, die in eine aktualisierte Einheitliche Lösung, wie unten beschrieben, integriert sind.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885F3A" w:rsidRPr="00CD4FF9" w14:paraId="3F1DAD35" w14:textId="77777777" w:rsidTr="00DB282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32E47CEA" w14:textId="77777777" w:rsidR="00885F3A" w:rsidRPr="00885F3A" w:rsidRDefault="00885F3A" w:rsidP="006D7090">
            <w:pPr>
              <w:jc w:val="center"/>
              <w:rPr>
                <w:rFonts w:ascii="Tahoma" w:hAnsi="Tahoma" w:cs="Tahoma"/>
                <w:iCs/>
                <w:color w:val="000000" w:themeColor="text1"/>
                <w:sz w:val="18"/>
              </w:rPr>
            </w:pPr>
            <w:r w:rsidRPr="00885F3A">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0298E88A" w14:textId="77777777" w:rsidR="00885F3A" w:rsidRPr="00885F3A" w:rsidRDefault="00885F3A" w:rsidP="006D7090">
            <w:pPr>
              <w:jc w:val="center"/>
              <w:rPr>
                <w:rFonts w:ascii="Tahoma" w:hAnsi="Tahoma" w:cs="Tahoma"/>
                <w:iCs/>
                <w:color w:val="000000" w:themeColor="text1"/>
                <w:sz w:val="18"/>
              </w:rPr>
            </w:pPr>
            <w:r w:rsidRPr="00885F3A">
              <w:rPr>
                <w:rFonts w:ascii="Tahoma" w:hAnsi="Tahoma" w:cs="Tahoma"/>
                <w:iCs/>
                <w:color w:val="000000" w:themeColor="text1"/>
                <w:sz w:val="18"/>
              </w:rPr>
              <w:t>Berechtigte Lizenzen</w:t>
            </w:r>
          </w:p>
        </w:tc>
      </w:tr>
      <w:tr w:rsidR="00885F3A" w:rsidRPr="00885F3A" w14:paraId="7B98EDAC" w14:textId="77777777" w:rsidTr="00DB2826">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708A9123" w14:textId="77777777" w:rsidR="00885F3A" w:rsidRPr="00885F3A" w:rsidRDefault="00885F3A" w:rsidP="006D7090">
            <w:pPr>
              <w:rPr>
                <w:rFonts w:ascii="Tahoma" w:hAnsi="Tahoma" w:cs="Tahoma"/>
                <w:bCs/>
                <w:iCs/>
                <w:color w:val="000000" w:themeColor="text1"/>
                <w:sz w:val="16"/>
                <w:lang w:val="fr-FR"/>
              </w:rPr>
            </w:pPr>
            <w:r w:rsidRPr="00885F3A">
              <w:rPr>
                <w:rFonts w:ascii="Tahoma" w:hAnsi="Tahoma" w:cs="Tahoma"/>
                <w:bCs/>
                <w:iCs/>
                <w:color w:val="000000" w:themeColor="text1"/>
                <w:sz w:val="16"/>
                <w:lang w:val="fr-FR"/>
              </w:rPr>
              <w:t>Eine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0EEED61E"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Data Protection Manager</w:t>
            </w:r>
          </w:p>
        </w:tc>
      </w:tr>
      <w:tr w:rsidR="00885F3A" w:rsidRPr="00885F3A" w14:paraId="645F65EA" w14:textId="77777777" w:rsidTr="00DB2826">
        <w:tc>
          <w:tcPr>
            <w:tcW w:w="5400" w:type="dxa"/>
            <w:vMerge/>
            <w:tcBorders>
              <w:left w:val="single" w:sz="4" w:space="0" w:color="F79646"/>
              <w:right w:val="single" w:sz="4" w:space="0" w:color="F79646"/>
            </w:tcBorders>
            <w:hideMark/>
          </w:tcPr>
          <w:p w14:paraId="34E2E934"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00194457"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Operations Manager</w:t>
            </w:r>
          </w:p>
        </w:tc>
      </w:tr>
      <w:tr w:rsidR="00885F3A" w:rsidRPr="00885F3A" w14:paraId="23525343" w14:textId="77777777" w:rsidTr="00DB2826">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3AD5B793"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33F0434B"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Orchestrator</w:t>
            </w:r>
          </w:p>
        </w:tc>
      </w:tr>
      <w:tr w:rsidR="00885F3A" w:rsidRPr="00885F3A" w14:paraId="14346971" w14:textId="77777777" w:rsidTr="00DB2826">
        <w:tc>
          <w:tcPr>
            <w:tcW w:w="5400" w:type="dxa"/>
            <w:vMerge/>
            <w:tcBorders>
              <w:left w:val="single" w:sz="4" w:space="0" w:color="F79646"/>
              <w:bottom w:val="single" w:sz="4" w:space="0" w:color="F79646"/>
              <w:right w:val="single" w:sz="4" w:space="0" w:color="F79646"/>
            </w:tcBorders>
          </w:tcPr>
          <w:p w14:paraId="285101F7"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46C5254A"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Service Manager</w:t>
            </w:r>
          </w:p>
        </w:tc>
      </w:tr>
    </w:tbl>
    <w:p w14:paraId="2859E65C" w14:textId="77777777" w:rsidR="00EB0883" w:rsidRPr="00B95451" w:rsidRDefault="00EB0883" w:rsidP="005F58E3">
      <w:pPr>
        <w:keepNext/>
        <w:spacing w:before="120" w:after="120"/>
      </w:pPr>
    </w:p>
    <w:p w14:paraId="1FA9F3D6" w14:textId="41F4E3F1" w:rsidR="00775D5C" w:rsidRPr="00B95451" w:rsidRDefault="00775D5C" w:rsidP="005F58E3">
      <w:pPr>
        <w:keepNext/>
        <w:spacing w:before="120" w:after="120"/>
      </w:pPr>
      <w:r>
        <w:rPr>
          <w:rFonts w:ascii="Tahoma" w:hAnsi="Tahoma" w:cs="Tahoma"/>
          <w:b/>
        </w:rPr>
        <w:t>Visual Studio 201</w:t>
      </w:r>
      <w:r w:rsidR="00210A53">
        <w:rPr>
          <w:rFonts w:ascii="Tahoma" w:hAnsi="Tahoma" w:cs="Tahoma"/>
          <w:b/>
        </w:rPr>
        <w:t>7</w:t>
      </w:r>
    </w:p>
    <w:p w14:paraId="55FC0C97" w14:textId="5CCC8530" w:rsidR="00775D5C" w:rsidRPr="00B95451" w:rsidRDefault="00210A53" w:rsidP="008E2012">
      <w:pPr>
        <w:spacing w:before="120" w:after="120"/>
      </w:pPr>
      <w:r>
        <w:rPr>
          <w:rFonts w:ascii="Tahoma" w:hAnsi="Tahoma" w:cs="Tahoma"/>
          <w:color w:val="000000"/>
        </w:rPr>
        <w:t>Visual Studio 2017</w:t>
      </w:r>
      <w:r w:rsidR="00775D5C">
        <w:rPr>
          <w:rFonts w:ascii="Tahoma" w:hAnsi="Tahoma" w:cs="Tahoma"/>
          <w:color w:val="000000"/>
        </w:rPr>
        <w:t xml:space="preserve"> ist die neueste Version der Visual Studio-Produkte. Kunden mit aktiver </w:t>
      </w:r>
      <w:r w:rsidR="00775D5C">
        <w:rPr>
          <w:rFonts w:ascii="Tahoma" w:hAnsi="Tahoma" w:cs="Tahoma"/>
        </w:rPr>
        <w:t xml:space="preserve">Embedded Maintenance </w:t>
      </w:r>
      <w:r w:rsidR="00775D5C">
        <w:rPr>
          <w:rFonts w:ascii="Tahoma" w:hAnsi="Tahoma" w:cs="Tahoma"/>
          <w:color w:val="000000"/>
        </w:rPr>
        <w:t>für Visual Studio 201</w:t>
      </w:r>
      <w:r>
        <w:rPr>
          <w:rFonts w:ascii="Tahoma" w:hAnsi="Tahoma" w:cs="Tahoma"/>
          <w:color w:val="000000"/>
        </w:rPr>
        <w:t>5</w:t>
      </w:r>
      <w:r w:rsidR="00775D5C">
        <w:rPr>
          <w:rFonts w:ascii="Tahoma" w:hAnsi="Tahoma" w:cs="Tahoma"/>
          <w:color w:val="000000"/>
        </w:rPr>
        <w:t xml:space="preserve"> sind berechtigt, ein Upgrade auf Visual Studio 201</w:t>
      </w:r>
      <w:r>
        <w:rPr>
          <w:rFonts w:ascii="Tahoma" w:hAnsi="Tahoma" w:cs="Tahoma"/>
          <w:color w:val="000000"/>
        </w:rPr>
        <w:t>7</w:t>
      </w:r>
      <w:r w:rsidR="00775D5C">
        <w:rPr>
          <w:rFonts w:ascii="Tahoma" w:hAnsi="Tahoma" w:cs="Tahoma"/>
          <w:color w:val="000000"/>
        </w:rPr>
        <w:t xml:space="preserve"> durchzuführen und diese Software anstelle der lizenzierten Kopien von Visual Studio 201</w:t>
      </w:r>
      <w:r>
        <w:rPr>
          <w:rFonts w:ascii="Tahoma" w:hAnsi="Tahoma" w:cs="Tahoma"/>
          <w:color w:val="000000"/>
        </w:rPr>
        <w:t>5</w:t>
      </w:r>
      <w:r w:rsidR="00775D5C">
        <w:rPr>
          <w:rFonts w:ascii="Tahoma" w:hAnsi="Tahoma" w:cs="Tahoma"/>
          <w:color w:val="000000"/>
        </w:rPr>
        <w:t xml:space="preserve">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4316692" w:rsidR="00775D5C" w:rsidRPr="00885F3A" w:rsidRDefault="00775D5C" w:rsidP="00775D5C">
            <w:pPr>
              <w:jc w:val="center"/>
              <w:rPr>
                <w:rFonts w:ascii="Tahoma" w:hAnsi="Tahoma" w:cs="Tahoma"/>
                <w:b/>
                <w:bCs/>
                <w:iCs/>
                <w:sz w:val="18"/>
              </w:rPr>
            </w:pPr>
            <w:r w:rsidRPr="00885F3A">
              <w:rPr>
                <w:rFonts w:ascii="Tahoma" w:hAnsi="Tahoma" w:cs="Tahoma"/>
                <w:b/>
                <w:bCs/>
                <w:iCs/>
                <w:sz w:val="18"/>
              </w:rPr>
              <w:t>Visual Studio 201</w:t>
            </w:r>
            <w:r w:rsidR="00210A53">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885F3A" w:rsidRDefault="00775D5C" w:rsidP="00775D5C">
            <w:pPr>
              <w:jc w:val="center"/>
              <w:rPr>
                <w:rFonts w:ascii="Tahoma" w:hAnsi="Tahoma" w:cs="Tahoma"/>
                <w:sz w:val="18"/>
              </w:rPr>
            </w:pPr>
            <w:r w:rsidRPr="00885F3A">
              <w:rPr>
                <w:rFonts w:ascii="Tahoma" w:hAnsi="Tahoma" w:cs="Tahoma"/>
                <w:b/>
                <w:bCs/>
                <w:iCs/>
                <w:sz w:val="18"/>
              </w:rPr>
              <w:t>Folgeversion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6B5D72DC"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210A53">
              <w:rPr>
                <w:rFonts w:ascii="Tahoma" w:hAnsi="Tahoma" w:cs="Tahoma"/>
                <w:bCs/>
                <w:sz w:val="16"/>
                <w:szCs w:val="19"/>
              </w:rPr>
              <w:t>Enterprise</w:t>
            </w:r>
            <w:r>
              <w:rPr>
                <w:rFonts w:ascii="Tahoma" w:hAnsi="Tahoma" w:cs="Tahoma"/>
                <w:bCs/>
                <w:sz w:val="16"/>
                <w:szCs w:val="19"/>
              </w:rPr>
              <w:t xml:space="preserve"> 201</w:t>
            </w:r>
            <w:r w:rsidR="00210A5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202815E3"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w:t>
            </w:r>
            <w:r w:rsidR="00210A53">
              <w:rPr>
                <w:rFonts w:ascii="Tahoma" w:hAnsi="Tahoma" w:cs="Tahoma"/>
                <w:bCs/>
                <w:sz w:val="16"/>
                <w:szCs w:val="19"/>
              </w:rPr>
              <w:t>7</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660F5639"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210A5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2FAD90FE"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210A53">
              <w:rPr>
                <w:rFonts w:ascii="Tahoma" w:hAnsi="Tahoma" w:cs="Tahoma"/>
                <w:bCs/>
                <w:sz w:val="16"/>
                <w:szCs w:val="19"/>
              </w:rPr>
              <w:t>7</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527472FE"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210A5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2CE35369"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210A53">
              <w:rPr>
                <w:rFonts w:ascii="Tahoma" w:hAnsi="Tahoma" w:cs="Tahoma"/>
                <w:bCs/>
                <w:sz w:val="16"/>
                <w:szCs w:val="19"/>
              </w:rPr>
              <w:t>7</w:t>
            </w:r>
          </w:p>
        </w:tc>
      </w:tr>
    </w:tbl>
    <w:p w14:paraId="2848D2DF" w14:textId="77777777" w:rsidR="00FB52EE" w:rsidRPr="00B95451" w:rsidRDefault="00FB52EE" w:rsidP="00FB52EE">
      <w:pPr>
        <w:keepNext/>
        <w:spacing w:before="120" w:after="120"/>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ist die neueste Version von Visual Studio Team Foundation Server. Kunden mit aktiver </w:t>
      </w:r>
      <w:r>
        <w:rPr>
          <w:rFonts w:ascii="Tahoma" w:hAnsi="Tahoma" w:cs="Tahoma"/>
        </w:rPr>
        <w:t xml:space="preserve">Embedded Maintenance </w:t>
      </w:r>
      <w:r>
        <w:rPr>
          <w:rFonts w:ascii="Tahoma" w:hAnsi="Tahoma" w:cs="Tahoma"/>
          <w:color w:val="000000"/>
        </w:rPr>
        <w:t>für Visual Studio Team Foundation Server 2015 sind berechtigt, ein Upgrade auf Visual Studio Team Foundation Server 2017 durchzuführen und diese Software anstelle der lizenzierten Kopien von Visual Studio Team Foundation Server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885F3A" w:rsidRDefault="00FB52EE" w:rsidP="003A569B">
            <w:pPr>
              <w:jc w:val="center"/>
              <w:rPr>
                <w:rFonts w:ascii="Tahoma" w:hAnsi="Tahoma" w:cs="Tahoma"/>
                <w:b/>
                <w:bCs/>
                <w:iCs/>
                <w:sz w:val="18"/>
              </w:rPr>
            </w:pPr>
            <w:r w:rsidRPr="00885F3A">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885F3A" w:rsidRDefault="00FB52EE" w:rsidP="00D8171B">
            <w:pPr>
              <w:jc w:val="center"/>
              <w:rPr>
                <w:rFonts w:ascii="Tahoma" w:hAnsi="Tahoma" w:cs="Tahoma"/>
                <w:sz w:val="18"/>
              </w:rPr>
            </w:pPr>
            <w:r w:rsidRPr="00885F3A">
              <w:rPr>
                <w:rFonts w:ascii="Tahoma" w:hAnsi="Tahoma" w:cs="Tahoma"/>
                <w:b/>
                <w:bCs/>
                <w:iCs/>
                <w:sz w:val="18"/>
              </w:rPr>
              <w:t>Folgeversion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D0038C">
      <w:pPr>
        <w:keepNext/>
        <w:numPr>
          <w:ilvl w:val="0"/>
          <w:numId w:val="25"/>
        </w:numPr>
        <w:tabs>
          <w:tab w:val="left" w:pos="360"/>
        </w:tabs>
        <w:spacing w:before="120" w:after="120"/>
        <w:ind w:left="360"/>
      </w:pPr>
      <w:r>
        <w:rPr>
          <w:rFonts w:ascii="Tahoma" w:hAnsi="Tahoma" w:cs="Tahoma"/>
          <w:b/>
          <w:color w:val="FF6600"/>
          <w:sz w:val="24"/>
          <w:szCs w:val="24"/>
        </w:rPr>
        <w:t>Informationen zum Product Key</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Mit „s“ gekennzeichnete Artikel: Der Product Key für das Setup ist auf dem Label enthalten, das im Lieferumfang der Fulfillment-Medien enthalten ist.</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2"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Mit „r“ gekennzeichnete Artikel: Wenden Sie sich bitte an </w:t>
      </w:r>
      <w:hyperlink r:id="rId13" w:history="1">
        <w:r>
          <w:rPr>
            <w:rStyle w:val="Hyperlink"/>
            <w:rFonts w:ascii="Tahoma" w:hAnsi="Tahoma" w:cs="Tahoma"/>
          </w:rPr>
          <w:t>isvroy@microsoft.com</w:t>
        </w:r>
      </w:hyperlink>
      <w:r>
        <w:rPr>
          <w:rFonts w:ascii="Tahoma" w:hAnsi="Tahoma" w:cs="Tahoma"/>
        </w:rPr>
        <w:t>, um RDS CAL-Keys zu erhalten.</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t>Zusätzliche Programmbestimmungen</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Vertraulichkeit von Keys</w:t>
      </w:r>
      <w:r w:rsidRPr="00F17F2D">
        <w:rPr>
          <w:rFonts w:ascii="Tahoma" w:hAnsi="Tahoma" w:cs="Tahoma"/>
          <w:b/>
        </w:rPr>
        <w:t xml:space="preserve">. </w:t>
      </w:r>
      <w:r>
        <w:rPr>
          <w:rFonts w:ascii="Tahoma" w:hAnsi="Tahoma" w:cs="Tahoma"/>
        </w:rPr>
        <w:t xml:space="preserve">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4"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793E3A" w:rsidRDefault="00CC3B64" w:rsidP="00F21859">
      <w:pPr>
        <w:pStyle w:val="ListParagraph"/>
        <w:numPr>
          <w:ilvl w:val="0"/>
          <w:numId w:val="37"/>
        </w:numPr>
        <w:spacing w:before="120" w:after="120"/>
        <w:rPr>
          <w:spacing w:val="-2"/>
        </w:rPr>
      </w:pPr>
      <w:r w:rsidRPr="00793E3A">
        <w:rPr>
          <w:rFonts w:ascii="Tahoma" w:hAnsi="Tahoma" w:cs="Tahoma"/>
          <w:b/>
          <w:spacing w:val="-2"/>
        </w:rPr>
        <w:t>Lizenzanforderungen.</w:t>
      </w:r>
      <w:r w:rsidRPr="00793E3A">
        <w:rPr>
          <w:rFonts w:ascii="Tahoma" w:hAnsi="Tahoma" w:cs="Tahoma"/>
          <w:spacing w:val="-2"/>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Sie müssen zunächst einen Forschung &amp; Lehre-Vertrag und einen Forschung &amp; Lehre-Beitritt unterzeichnen,</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22BB8DAB" w14:textId="4F00B671" w:rsidR="00E43388" w:rsidRPr="00B95451" w:rsidRDefault="00CC3B64" w:rsidP="00F21859">
      <w:pPr>
        <w:spacing w:before="120" w:after="120"/>
        <w:ind w:firstLine="360"/>
      </w:pPr>
      <w:r>
        <w:rPr>
          <w:rFonts w:ascii="Tahoma" w:hAnsi="Tahoma" w:cs="Tahoma"/>
        </w:rPr>
        <w:t>Die Kriterien für qualifizierte Endbenutzer für Forschung und Lehre sind in dem Forschung &amp; Lehre-Beitritt spezifiziert.</w:t>
      </w:r>
    </w:p>
    <w:p w14:paraId="22BB8DAD" w14:textId="2E264808" w:rsidR="00554191" w:rsidRPr="00B95451" w:rsidRDefault="00554191" w:rsidP="00EE3044">
      <w:pPr>
        <w:pStyle w:val="ListParagraph"/>
        <w:numPr>
          <w:ilvl w:val="0"/>
          <w:numId w:val="37"/>
        </w:numPr>
        <w:spacing w:before="120"/>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Geschäftsbedingungen des Vertrages (muss also voll in die Vereinheitlichte Lösung integriert sein) und des Endbenutzervertrages.</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Downgraderechte. </w:t>
      </w:r>
      <w:r>
        <w:rPr>
          <w:rFonts w:ascii="Tahoma" w:hAnsi="Tahoma" w:cs="Tahoma"/>
          <w:color w:val="000000"/>
        </w:rPr>
        <w:t xml:space="preserve">Unbeschadet anderer Bestimmungen des Vertrags oder der Microsoft-Lizenzbestimmungen können Sie die aktuelle Version eines Produkts melden und eine vorherige, </w:t>
      </w:r>
      <w:r>
        <w:rPr>
          <w:rFonts w:ascii="Tahoma" w:hAnsi="Tahoma" w:cs="Tahoma"/>
        </w:rPr>
        <w:t xml:space="preserve">im Rahmen des </w:t>
      </w:r>
      <w:r>
        <w:rPr>
          <w:rFonts w:ascii="Tahoma" w:hAnsi="Tahoma" w:cs="Tahoma"/>
          <w:color w:val="000000"/>
        </w:rPr>
        <w:t xml:space="preserve">Enddatums für Erweiterten Support von Microsoft, wie in den Richtlinien für den Support Lifecycle </w:t>
      </w:r>
      <w:hyperlink r:id="rId15" w:history="1">
        <w:r>
          <w:rPr>
            <w:rStyle w:val="Hyperlink"/>
            <w:rFonts w:ascii="Tahoma" w:hAnsi="Tahoma" w:cs="Tahoma"/>
          </w:rPr>
          <w:t>https://support.microsoft.com/gp/lifeselect</w:t>
        </w:r>
      </w:hyperlink>
      <w:r>
        <w:rPr>
          <w:rFonts w:ascii="Tahoma" w:hAnsi="Tahoma" w:cs="Tahoma"/>
        </w:rPr>
        <w:t xml:space="preserve"> oder einer von Microsoft zu benennenden Folgeseite angegeben, noch unterstützte Version des Produkts vertreiben.</w:t>
      </w:r>
      <w:r>
        <w:rPr>
          <w:rFonts w:ascii="Tahoma" w:hAnsi="Tahoma" w:cs="Tahoma"/>
          <w:color w:val="000000"/>
        </w:rPr>
        <w:t xml:space="preserve"> Durch die Verwendung einer früheren Version unter diesen Downgraderechten wird der Support Lifecycle der früheren Version nicht verlängert</w:t>
      </w:r>
      <w:r>
        <w:rPr>
          <w:rFonts w:ascii="Tahoma" w:hAnsi="Tahoma" w:cs="Tahoma"/>
        </w:rPr>
        <w:t xml:space="preserve">. </w:t>
      </w:r>
      <w:r>
        <w:rPr>
          <w:rFonts w:ascii="Tahoma" w:hAnsi="Tahoma" w:cs="Tahoma"/>
          <w:color w:val="000000"/>
        </w:rPr>
        <w:t>Sie sind verpflichtet, die vertriebenen Produkte in Übereinstimmung mit den anwendbaren Microsoft-Lizenzbestimmungen für das gemeldete Produkt zu lizenzieren.</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Erweiterter Vertrieb.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und Workgroup Edition (alle Versionen)</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und Enterprise Edition (alle Versionen)</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(alle Versionen)</w:t>
            </w:r>
          </w:p>
        </w:tc>
      </w:tr>
      <w:tr w:rsidR="0067230F" w:rsidRPr="00F21859" w14:paraId="068520E5" w14:textId="77777777" w:rsidTr="0067230F">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1BACE31" w14:textId="77777777" w:rsidR="0067230F" w:rsidRPr="0067230F" w:rsidRDefault="0067230F" w:rsidP="004D553D">
            <w:pPr>
              <w:rPr>
                <w:rFonts w:ascii="Tahoma" w:hAnsi="Tahoma" w:cs="Tahoma"/>
                <w:bCs/>
                <w:iCs/>
                <w:sz w:val="18"/>
                <w:szCs w:val="19"/>
              </w:rPr>
            </w:pPr>
            <w:r>
              <w:rPr>
                <w:rFonts w:ascii="Tahoma" w:hAnsi="Tahoma" w:cs="Tahoma"/>
                <w:bCs/>
                <w:iCs/>
                <w:sz w:val="18"/>
                <w:szCs w:val="19"/>
              </w:rPr>
              <w:t>Microsoft Dynamics CRM Server 2016 (alle Versionen)</w:t>
            </w:r>
          </w:p>
        </w:tc>
      </w:tr>
    </w:tbl>
    <w:p w14:paraId="4A488797" w14:textId="77777777" w:rsidR="00D833B1" w:rsidRPr="00B95451" w:rsidRDefault="00D833B1" w:rsidP="00E35DDE">
      <w:pPr>
        <w:pStyle w:val="ListParagraph"/>
        <w:spacing w:before="120" w:after="120"/>
        <w:ind w:left="450"/>
        <w:jc w:val="both"/>
      </w:pPr>
    </w:p>
    <w:sectPr w:rsidR="00D833B1" w:rsidRPr="00B95451" w:rsidSect="00AB012F">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5738C" w14:textId="77777777" w:rsidR="005546BE" w:rsidRDefault="005546BE">
      <w:r>
        <w:separator/>
      </w:r>
    </w:p>
    <w:p w14:paraId="16CEA91D" w14:textId="77777777" w:rsidR="005546BE" w:rsidRDefault="005546BE"/>
    <w:p w14:paraId="113A7CB4" w14:textId="77777777" w:rsidR="005546BE" w:rsidRDefault="005546BE"/>
  </w:endnote>
  <w:endnote w:type="continuationSeparator" w:id="0">
    <w:p w14:paraId="154C062D" w14:textId="77777777" w:rsidR="005546BE" w:rsidRDefault="005546BE">
      <w:r>
        <w:continuationSeparator/>
      </w:r>
    </w:p>
    <w:p w14:paraId="2095A84B" w14:textId="77777777" w:rsidR="005546BE" w:rsidRDefault="005546BE"/>
    <w:p w14:paraId="286604B6" w14:textId="77777777" w:rsidR="005546BE" w:rsidRDefault="005546BE"/>
  </w:endnote>
  <w:endnote w:type="continuationNotice" w:id="1">
    <w:p w14:paraId="718E99A2" w14:textId="77777777" w:rsidR="005546BE" w:rsidRDefault="005546BE"/>
    <w:p w14:paraId="06A8BFBC" w14:textId="77777777" w:rsidR="005546BE" w:rsidRDefault="005546BE"/>
    <w:p w14:paraId="12D047B9" w14:textId="77777777" w:rsidR="005546BE" w:rsidRDefault="00554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0ADD" w14:textId="77777777" w:rsidR="009F6C15" w:rsidRDefault="009F6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ECB7" w14:textId="19CE6F7A" w:rsidR="00885F3A" w:rsidRPr="004A7492" w:rsidRDefault="00885F3A" w:rsidP="00885F3A">
    <w:pPr>
      <w:pStyle w:val="Footer"/>
      <w:tabs>
        <w:tab w:val="clear" w:pos="8640"/>
        <w:tab w:val="left" w:pos="4890"/>
      </w:tabs>
      <w:rPr>
        <w:rFonts w:ascii="Tahoma" w:hAnsi="Tahoma" w:cs="Tahoma"/>
        <w:i/>
        <w:sz w:val="16"/>
        <w:szCs w:val="16"/>
      </w:rPr>
    </w:pPr>
    <w:r w:rsidRPr="00CD4FF9">
      <w:rPr>
        <w:rFonts w:ascii="Tahoma" w:hAnsi="Tahoma" w:cs="Tahoma"/>
        <w:i/>
        <w:snapToGrid w:val="0"/>
        <w:sz w:val="16"/>
        <w:szCs w:val="16"/>
      </w:rPr>
      <w:t xml:space="preserve">Gültig ab 01. </w:t>
    </w:r>
    <w:r w:rsidR="00524AF8">
      <w:rPr>
        <w:rFonts w:ascii="Tahoma" w:hAnsi="Tahoma" w:cs="Tahoma"/>
        <w:i/>
        <w:snapToGrid w:val="0"/>
        <w:sz w:val="16"/>
        <w:szCs w:val="16"/>
      </w:rPr>
      <w:t>Oktober</w:t>
    </w:r>
    <w:r w:rsidR="00524AF8" w:rsidRPr="00CD4FF9">
      <w:rPr>
        <w:rFonts w:ascii="Tahoma" w:hAnsi="Tahoma" w:cs="Tahoma"/>
        <w:i/>
        <w:snapToGrid w:val="0"/>
        <w:sz w:val="16"/>
        <w:szCs w:val="16"/>
      </w:rPr>
      <w:t xml:space="preserve"> </w:t>
    </w:r>
    <w:r w:rsidRPr="00CD4FF9">
      <w:rPr>
        <w:rFonts w:ascii="Tahoma" w:hAnsi="Tahoma" w:cs="Tahoma"/>
        <w:i/>
        <w:snapToGrid w:val="0"/>
        <w:sz w:val="16"/>
        <w:szCs w:val="16"/>
      </w:rPr>
      <w:t>2017</w:t>
    </w:r>
    <w:r w:rsidRPr="004A7492">
      <w:rPr>
        <w:rFonts w:ascii="Tahoma" w:hAnsi="Tahoma" w:cs="Tahoma"/>
        <w:i/>
        <w:sz w:val="16"/>
        <w:szCs w:val="16"/>
      </w:rPr>
      <w:tab/>
    </w:r>
    <w:r w:rsidRPr="004A7492">
      <w:rPr>
        <w:rFonts w:ascii="Tahoma" w:hAnsi="Tahoma" w:cs="Tahoma"/>
        <w:i/>
        <w:sz w:val="16"/>
        <w:szCs w:val="16"/>
      </w:rPr>
      <w:tab/>
    </w:r>
    <w:r>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Pr>
        <w:rFonts w:ascii="Tahoma" w:hAnsi="Tahoma" w:cs="Tahoma"/>
        <w:i/>
        <w:sz w:val="16"/>
        <w:szCs w:val="16"/>
      </w:rPr>
      <w:t>Seite</w:t>
    </w:r>
    <w:r w:rsidRPr="004A7492">
      <w:rPr>
        <w:rFonts w:ascii="Tahoma" w:hAnsi="Tahoma" w:cs="Tahoma"/>
        <w:i/>
        <w:sz w:val="16"/>
        <w:szCs w:val="16"/>
      </w:rPr>
      <w:t xml:space="preserv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9F6C15">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w:t>
    </w:r>
    <w:r>
      <w:rPr>
        <w:rFonts w:ascii="Tahoma" w:hAnsi="Tahoma" w:cs="Tahoma"/>
        <w:i/>
        <w:sz w:val="16"/>
        <w:szCs w:val="16"/>
      </w:rPr>
      <w:t>von</w:t>
    </w:r>
    <w:r w:rsidRPr="004A7492">
      <w:rPr>
        <w:rFonts w:ascii="Tahoma" w:hAnsi="Tahoma" w:cs="Tahoma"/>
        <w:i/>
        <w:sz w:val="16"/>
        <w:szCs w:val="16"/>
      </w:rPr>
      <w:t xml:space="preserve">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9F6C15">
      <w:rPr>
        <w:rStyle w:val="PageNumber"/>
        <w:rFonts w:ascii="Tahoma" w:hAnsi="Tahoma" w:cs="Tahoma"/>
        <w:i/>
        <w:noProof/>
        <w:sz w:val="16"/>
        <w:szCs w:val="16"/>
      </w:rPr>
      <w:t>7</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120B" w14:textId="53554C54" w:rsidR="00C161DE" w:rsidRPr="004A7492" w:rsidRDefault="00885F3A" w:rsidP="003A63A2">
    <w:pPr>
      <w:pStyle w:val="Footer"/>
      <w:tabs>
        <w:tab w:val="clear" w:pos="8640"/>
        <w:tab w:val="left" w:pos="4890"/>
      </w:tabs>
      <w:rPr>
        <w:rFonts w:ascii="Tahoma" w:hAnsi="Tahoma" w:cs="Tahoma"/>
        <w:i/>
        <w:sz w:val="16"/>
        <w:szCs w:val="16"/>
      </w:rPr>
    </w:pPr>
    <w:r w:rsidRPr="00CD4FF9">
      <w:rPr>
        <w:rFonts w:ascii="Tahoma" w:hAnsi="Tahoma" w:cs="Tahoma"/>
        <w:i/>
        <w:snapToGrid w:val="0"/>
        <w:sz w:val="16"/>
        <w:szCs w:val="16"/>
      </w:rPr>
      <w:t xml:space="preserve">Gültig ab 01. </w:t>
    </w:r>
    <w:r w:rsidR="00524AF8">
      <w:rPr>
        <w:rFonts w:ascii="Tahoma" w:hAnsi="Tahoma" w:cs="Tahoma"/>
        <w:i/>
        <w:snapToGrid w:val="0"/>
        <w:sz w:val="16"/>
        <w:szCs w:val="16"/>
      </w:rPr>
      <w:t>Oktober</w:t>
    </w:r>
    <w:r w:rsidRPr="00CD4FF9">
      <w:rPr>
        <w:rFonts w:ascii="Tahoma" w:hAnsi="Tahoma" w:cs="Tahoma"/>
        <w:i/>
        <w:snapToGrid w:val="0"/>
        <w:sz w:val="16"/>
        <w:szCs w:val="16"/>
      </w:rPr>
      <w:t xml:space="preserve"> 2017</w:t>
    </w:r>
    <w:r w:rsidR="00C161DE" w:rsidRPr="004A7492">
      <w:rPr>
        <w:rFonts w:ascii="Tahoma" w:hAnsi="Tahoma" w:cs="Tahoma"/>
        <w:i/>
        <w:sz w:val="16"/>
        <w:szCs w:val="16"/>
      </w:rPr>
      <w:tab/>
    </w:r>
    <w:r w:rsidR="00C161DE" w:rsidRPr="004A7492">
      <w:rPr>
        <w:rFonts w:ascii="Tahoma" w:hAnsi="Tahoma" w:cs="Tahoma"/>
        <w:i/>
        <w:sz w:val="16"/>
        <w:szCs w:val="16"/>
      </w:rPr>
      <w:tab/>
    </w:r>
    <w:r w:rsidR="003A63A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Pr>
        <w:rFonts w:ascii="Tahoma" w:hAnsi="Tahoma" w:cs="Tahoma"/>
        <w:i/>
        <w:sz w:val="16"/>
        <w:szCs w:val="16"/>
      </w:rPr>
      <w:t>Seite</w:t>
    </w:r>
    <w:r w:rsidR="00C161DE" w:rsidRPr="004A7492">
      <w:rPr>
        <w:rFonts w:ascii="Tahoma" w:hAnsi="Tahoma" w:cs="Tahoma"/>
        <w:i/>
        <w:sz w:val="16"/>
        <w:szCs w:val="16"/>
      </w:rPr>
      <w:t xml:space="preserve"> </w:t>
    </w:r>
    <w:r w:rsidR="00C161DE" w:rsidRPr="004A7492">
      <w:rPr>
        <w:rFonts w:ascii="Tahoma" w:hAnsi="Tahoma" w:cs="Tahoma"/>
        <w:i/>
        <w:sz w:val="16"/>
        <w:szCs w:val="16"/>
      </w:rPr>
      <w:fldChar w:fldCharType="begin"/>
    </w:r>
    <w:r w:rsidR="00C161DE" w:rsidRPr="004A7492">
      <w:rPr>
        <w:rFonts w:ascii="Tahoma" w:hAnsi="Tahoma" w:cs="Tahoma"/>
        <w:i/>
        <w:sz w:val="16"/>
        <w:szCs w:val="16"/>
      </w:rPr>
      <w:instrText xml:space="preserve"> PAGE </w:instrText>
    </w:r>
    <w:r w:rsidR="00C161DE" w:rsidRPr="004A7492">
      <w:rPr>
        <w:rFonts w:ascii="Tahoma" w:hAnsi="Tahoma" w:cs="Tahoma"/>
        <w:i/>
        <w:sz w:val="16"/>
        <w:szCs w:val="16"/>
      </w:rPr>
      <w:fldChar w:fldCharType="separate"/>
    </w:r>
    <w:r w:rsidR="009F6C15">
      <w:rPr>
        <w:rFonts w:ascii="Tahoma" w:hAnsi="Tahoma" w:cs="Tahoma"/>
        <w:i/>
        <w:noProof/>
        <w:sz w:val="16"/>
        <w:szCs w:val="16"/>
      </w:rPr>
      <w:t>1</w:t>
    </w:r>
    <w:r w:rsidR="00C161DE" w:rsidRPr="004A7492">
      <w:rPr>
        <w:rFonts w:ascii="Tahoma" w:hAnsi="Tahoma" w:cs="Tahoma"/>
        <w:i/>
        <w:sz w:val="16"/>
        <w:szCs w:val="16"/>
      </w:rPr>
      <w:fldChar w:fldCharType="end"/>
    </w:r>
    <w:r w:rsidR="00C161DE" w:rsidRPr="004A7492">
      <w:rPr>
        <w:rFonts w:ascii="Tahoma" w:hAnsi="Tahoma" w:cs="Tahoma"/>
        <w:i/>
        <w:sz w:val="16"/>
        <w:szCs w:val="16"/>
      </w:rPr>
      <w:t xml:space="preserve"> </w:t>
    </w:r>
    <w:r>
      <w:rPr>
        <w:rFonts w:ascii="Tahoma" w:hAnsi="Tahoma" w:cs="Tahoma"/>
        <w:i/>
        <w:sz w:val="16"/>
        <w:szCs w:val="16"/>
      </w:rPr>
      <w:t>von</w:t>
    </w:r>
    <w:r w:rsidR="00C161DE" w:rsidRPr="004A7492">
      <w:rPr>
        <w:rFonts w:ascii="Tahoma" w:hAnsi="Tahoma" w:cs="Tahoma"/>
        <w:i/>
        <w:sz w:val="16"/>
        <w:szCs w:val="16"/>
      </w:rPr>
      <w:t xml:space="preserve"> </w:t>
    </w:r>
    <w:r w:rsidR="00C161DE" w:rsidRPr="004A7492">
      <w:rPr>
        <w:rStyle w:val="PageNumber"/>
        <w:rFonts w:ascii="Tahoma" w:hAnsi="Tahoma" w:cs="Tahoma"/>
        <w:i/>
        <w:sz w:val="16"/>
        <w:szCs w:val="16"/>
      </w:rPr>
      <w:fldChar w:fldCharType="begin"/>
    </w:r>
    <w:r w:rsidR="00C161DE" w:rsidRPr="004A7492">
      <w:rPr>
        <w:rStyle w:val="PageNumber"/>
        <w:rFonts w:ascii="Tahoma" w:hAnsi="Tahoma" w:cs="Tahoma"/>
        <w:i/>
        <w:sz w:val="16"/>
        <w:szCs w:val="16"/>
      </w:rPr>
      <w:instrText xml:space="preserve"> NUMPAGES </w:instrText>
    </w:r>
    <w:r w:rsidR="00C161DE" w:rsidRPr="004A7492">
      <w:rPr>
        <w:rStyle w:val="PageNumber"/>
        <w:rFonts w:ascii="Tahoma" w:hAnsi="Tahoma" w:cs="Tahoma"/>
        <w:i/>
        <w:sz w:val="16"/>
        <w:szCs w:val="16"/>
      </w:rPr>
      <w:fldChar w:fldCharType="separate"/>
    </w:r>
    <w:r w:rsidR="009F6C15">
      <w:rPr>
        <w:rStyle w:val="PageNumber"/>
        <w:rFonts w:ascii="Tahoma" w:hAnsi="Tahoma" w:cs="Tahoma"/>
        <w:i/>
        <w:noProof/>
        <w:sz w:val="16"/>
        <w:szCs w:val="16"/>
      </w:rPr>
      <w:t>7</w:t>
    </w:r>
    <w:r w:rsidR="00C161DE" w:rsidRPr="004A7492">
      <w:rPr>
        <w:rStyle w:val="PageNumber"/>
        <w:rFonts w:ascii="Tahoma" w:hAnsi="Tahoma" w:cs="Tahoma"/>
        <w:i/>
        <w:sz w:val="16"/>
        <w:szCs w:val="16"/>
      </w:rPr>
      <w:fldChar w:fldCharType="end"/>
    </w:r>
  </w:p>
  <w:p w14:paraId="7F99020A" w14:textId="77777777" w:rsidR="00C161DE" w:rsidRDefault="00C161DE" w:rsidP="00C161DE">
    <w:pPr>
      <w:tabs>
        <w:tab w:val="left" w:pos="118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270CC" w14:textId="77777777" w:rsidR="005546BE" w:rsidRDefault="005546BE">
      <w:r>
        <w:separator/>
      </w:r>
    </w:p>
    <w:p w14:paraId="340E0A7E" w14:textId="77777777" w:rsidR="005546BE" w:rsidRDefault="005546BE"/>
    <w:p w14:paraId="19B54916" w14:textId="77777777" w:rsidR="005546BE" w:rsidRDefault="005546BE"/>
  </w:footnote>
  <w:footnote w:type="continuationSeparator" w:id="0">
    <w:p w14:paraId="4D1DA01A" w14:textId="77777777" w:rsidR="005546BE" w:rsidRDefault="005546BE">
      <w:r>
        <w:continuationSeparator/>
      </w:r>
    </w:p>
    <w:p w14:paraId="0493E01D" w14:textId="77777777" w:rsidR="005546BE" w:rsidRDefault="005546BE"/>
    <w:p w14:paraId="380963C5" w14:textId="77777777" w:rsidR="005546BE" w:rsidRDefault="005546BE"/>
  </w:footnote>
  <w:footnote w:type="continuationNotice" w:id="1">
    <w:p w14:paraId="0CF41243" w14:textId="77777777" w:rsidR="005546BE" w:rsidRDefault="005546BE"/>
    <w:p w14:paraId="0A6D395C" w14:textId="77777777" w:rsidR="005546BE" w:rsidRDefault="005546BE"/>
    <w:p w14:paraId="1B3E278F" w14:textId="77777777" w:rsidR="005546BE" w:rsidRDefault="00554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1C9A" w14:textId="77777777" w:rsidR="009F6C15" w:rsidRDefault="009F6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D8171B" w:rsidRDefault="00D8171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D8171B" w:rsidRDefault="00D8171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EC07B10"/>
    <w:lvl w:ilvl="0" w:tplc="7E8E7F10">
      <w:start w:val="1"/>
      <w:numFmt w:val="upperLetter"/>
      <w:lvlText w:val="%1)"/>
      <w:lvlJc w:val="left"/>
      <w:pPr>
        <w:ind w:left="720" w:hanging="360"/>
      </w:pPr>
      <w:rPr>
        <w:rFonts w:ascii="Tahoma" w:hAnsi="Tahoma" w:cs="Tahoma" w:hint="default"/>
        <w:b/>
        <w:color w:val="FF66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21C4B2E8"/>
    <w:lvl w:ilvl="0" w:tplc="1F9C011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22880FB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02EEE4A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C300597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5A920344"/>
    <w:lvl w:ilvl="0" w:tplc="BBE4AAE8">
      <w:start w:val="1"/>
      <w:numFmt w:val="lowerLetter"/>
      <w:lvlText w:val="%1."/>
      <w:lvlJc w:val="left"/>
      <w:pPr>
        <w:ind w:left="720" w:hanging="360"/>
      </w:pPr>
      <w:rPr>
        <w:rFonts w:ascii="Tahoma" w:hAnsi="Tahoma" w:cs="Taho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hygq22HW7FE04VN8f6slEQsyphOB+XbcqxehzSJ056r9mzxO/9JVaDFfDdKKFvMZpfI94T7CR+LwzZUBp/f2A==" w:salt="U0C43gEIFjn9eGxVMYAlg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0CBC"/>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95C"/>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A53"/>
    <w:rsid w:val="00210D6C"/>
    <w:rsid w:val="0021325F"/>
    <w:rsid w:val="002206A9"/>
    <w:rsid w:val="00221766"/>
    <w:rsid w:val="00221A7A"/>
    <w:rsid w:val="00221C0C"/>
    <w:rsid w:val="00222770"/>
    <w:rsid w:val="00226DFB"/>
    <w:rsid w:val="002308D6"/>
    <w:rsid w:val="00231C97"/>
    <w:rsid w:val="00240460"/>
    <w:rsid w:val="00240D46"/>
    <w:rsid w:val="002436BD"/>
    <w:rsid w:val="002447F5"/>
    <w:rsid w:val="00244E06"/>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240D"/>
    <w:rsid w:val="00294583"/>
    <w:rsid w:val="00294CBF"/>
    <w:rsid w:val="002966B2"/>
    <w:rsid w:val="002A063C"/>
    <w:rsid w:val="002A0C2A"/>
    <w:rsid w:val="002A18CD"/>
    <w:rsid w:val="002A4E3E"/>
    <w:rsid w:val="002A52CF"/>
    <w:rsid w:val="002A791D"/>
    <w:rsid w:val="002B0DEA"/>
    <w:rsid w:val="002B0E58"/>
    <w:rsid w:val="002B3BA3"/>
    <w:rsid w:val="002B41F7"/>
    <w:rsid w:val="002B4B9E"/>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0925"/>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2A7E"/>
    <w:rsid w:val="00393453"/>
    <w:rsid w:val="00394016"/>
    <w:rsid w:val="003A06F8"/>
    <w:rsid w:val="003A08B6"/>
    <w:rsid w:val="003A0C27"/>
    <w:rsid w:val="003A0D18"/>
    <w:rsid w:val="003A2372"/>
    <w:rsid w:val="003A36ED"/>
    <w:rsid w:val="003A3DA7"/>
    <w:rsid w:val="003A4AFF"/>
    <w:rsid w:val="003A569B"/>
    <w:rsid w:val="003A63A2"/>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4B2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5EDA"/>
    <w:rsid w:val="004907CC"/>
    <w:rsid w:val="004932E2"/>
    <w:rsid w:val="00493573"/>
    <w:rsid w:val="00495AC5"/>
    <w:rsid w:val="00497195"/>
    <w:rsid w:val="004A2AE8"/>
    <w:rsid w:val="004A3BBC"/>
    <w:rsid w:val="004A5347"/>
    <w:rsid w:val="004A53B1"/>
    <w:rsid w:val="004A5BCA"/>
    <w:rsid w:val="004A606A"/>
    <w:rsid w:val="004A7492"/>
    <w:rsid w:val="004B1D9B"/>
    <w:rsid w:val="004B2243"/>
    <w:rsid w:val="004B318E"/>
    <w:rsid w:val="004B3672"/>
    <w:rsid w:val="004B4F0E"/>
    <w:rsid w:val="004B6008"/>
    <w:rsid w:val="004B6198"/>
    <w:rsid w:val="004C2A33"/>
    <w:rsid w:val="004C54C4"/>
    <w:rsid w:val="004C604E"/>
    <w:rsid w:val="004C7FD6"/>
    <w:rsid w:val="004D2DB5"/>
    <w:rsid w:val="004D77C1"/>
    <w:rsid w:val="004E0385"/>
    <w:rsid w:val="004E2C7E"/>
    <w:rsid w:val="004E51A1"/>
    <w:rsid w:val="004E58C8"/>
    <w:rsid w:val="004E6164"/>
    <w:rsid w:val="004E6EB8"/>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AF8"/>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6BE"/>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421"/>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3965"/>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3303"/>
    <w:rsid w:val="00654988"/>
    <w:rsid w:val="00654A70"/>
    <w:rsid w:val="00654BDA"/>
    <w:rsid w:val="006574A4"/>
    <w:rsid w:val="00663BC6"/>
    <w:rsid w:val="00664624"/>
    <w:rsid w:val="0066506C"/>
    <w:rsid w:val="00665990"/>
    <w:rsid w:val="00666A36"/>
    <w:rsid w:val="0066796E"/>
    <w:rsid w:val="0067159F"/>
    <w:rsid w:val="00671613"/>
    <w:rsid w:val="0067230F"/>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485"/>
    <w:rsid w:val="00775D5C"/>
    <w:rsid w:val="00775FAA"/>
    <w:rsid w:val="0077758B"/>
    <w:rsid w:val="00777765"/>
    <w:rsid w:val="0078093F"/>
    <w:rsid w:val="007817E2"/>
    <w:rsid w:val="00782B93"/>
    <w:rsid w:val="00785537"/>
    <w:rsid w:val="00786606"/>
    <w:rsid w:val="00790620"/>
    <w:rsid w:val="00793221"/>
    <w:rsid w:val="00793E3A"/>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38BF"/>
    <w:rsid w:val="007F57D7"/>
    <w:rsid w:val="00800AAF"/>
    <w:rsid w:val="00800B7A"/>
    <w:rsid w:val="00802A5F"/>
    <w:rsid w:val="008048BA"/>
    <w:rsid w:val="00807522"/>
    <w:rsid w:val="008076FA"/>
    <w:rsid w:val="0081047B"/>
    <w:rsid w:val="0081278A"/>
    <w:rsid w:val="00813296"/>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1440"/>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5F3A"/>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668A"/>
    <w:rsid w:val="009677A4"/>
    <w:rsid w:val="009714D4"/>
    <w:rsid w:val="009718F6"/>
    <w:rsid w:val="0097266F"/>
    <w:rsid w:val="00973BF9"/>
    <w:rsid w:val="009749A4"/>
    <w:rsid w:val="00976F79"/>
    <w:rsid w:val="0098076A"/>
    <w:rsid w:val="00982E66"/>
    <w:rsid w:val="009833E6"/>
    <w:rsid w:val="00983434"/>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C15"/>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0B1"/>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A29"/>
    <w:rsid w:val="00AA6CA4"/>
    <w:rsid w:val="00AB012F"/>
    <w:rsid w:val="00AB1982"/>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511D"/>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270DB"/>
    <w:rsid w:val="00B3508B"/>
    <w:rsid w:val="00B35ECD"/>
    <w:rsid w:val="00B3690A"/>
    <w:rsid w:val="00B36A97"/>
    <w:rsid w:val="00B37444"/>
    <w:rsid w:val="00B402DF"/>
    <w:rsid w:val="00B428AE"/>
    <w:rsid w:val="00B43706"/>
    <w:rsid w:val="00B45291"/>
    <w:rsid w:val="00B4670A"/>
    <w:rsid w:val="00B4798B"/>
    <w:rsid w:val="00B56691"/>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1DE"/>
    <w:rsid w:val="00C164E0"/>
    <w:rsid w:val="00C16C65"/>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5DCC"/>
    <w:rsid w:val="00CA712D"/>
    <w:rsid w:val="00CA73B2"/>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8C"/>
    <w:rsid w:val="00D03FA4"/>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40B"/>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2826"/>
    <w:rsid w:val="00DB39F3"/>
    <w:rsid w:val="00DB5F1B"/>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DF64A6"/>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5DDE"/>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C748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17F2D"/>
    <w:rsid w:val="00F2069B"/>
    <w:rsid w:val="00F2074C"/>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1A15"/>
    <w:rsid w:val="00F74CD6"/>
    <w:rsid w:val="00F761A4"/>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D0406"/>
    <w:rsid w:val="00FD0EB1"/>
    <w:rsid w:val="00FD57E8"/>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 w:type="table" w:customStyle="1" w:styleId="GridTable4-Accent21">
    <w:name w:val="Grid Table 4 - Accent 21"/>
    <w:basedOn w:val="TableNormal"/>
    <w:uiPriority w:val="49"/>
    <w:rsid w:val="00524AF8"/>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206EEC50-A76A-45DD-B69F-A1C12C2662E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2661e4c-298e-4b40-ae88-42a214f5baca"/>
    <ds:schemaRef ds:uri="http://www.w3.org/XML/1998/namespace"/>
    <ds:schemaRef ds:uri="http://purl.org/dc/elements/1.1/"/>
  </ds:schemaRefs>
</ds:datastoreItem>
</file>

<file path=customXml/itemProps4.xml><?xml version="1.0" encoding="utf-8"?>
<ds:datastoreItem xmlns:ds="http://schemas.openxmlformats.org/officeDocument/2006/customXml" ds:itemID="{E2EC9EE2-529F-460F-A921-512661FD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5731</Words>
  <Characters>32670</Characters>
  <Application>Microsoft Office Word</Application>
  <DocSecurity>8</DocSecurity>
  <Lines>272</Lines>
  <Paragraphs>76</Paragraphs>
  <ScaleCrop>false</ScaleCrop>
  <LinksUpToDate>false</LinksUpToDate>
  <CharactersWithSpaces>38325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2017-09-28T02:10:00Z</dcterms:created>
  <dcterms:modified xsi:type="dcterms:W3CDTF">2017-09-28T02:10:00Z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2017-09-27T19:10:12.8978970-07:00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